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25"/>
        <w:jc w:val="center"/>
        <w:spacing w:before="360" w:after="120"/>
        <w:rPr>
          <w:rFonts w:ascii="Times New Roman" w:hAnsi="Times New Roman" w:eastAsia="Calibri"/>
          <w:b/>
          <w:caps/>
          <w:szCs w:val="24"/>
        </w:rPr>
      </w:pPr>
      <w:r>
        <w:rPr>
          <w:rFonts w:ascii="Times New Roman" w:hAnsi="Times New Roman" w:eastAsia="Calibri"/>
          <w:b/>
          <w:caps/>
          <w:szCs w:val="24"/>
        </w:rPr>
        <w:t xml:space="preserve">ОБОСНОВАНИЕ начальной (максимальной) цены договора</w:t>
      </w:r>
      <w:r>
        <w:rPr>
          <w:rFonts w:ascii="Times New Roman" w:hAnsi="Times New Roman" w:eastAsia="Calibri"/>
          <w:sz w:val="26"/>
          <w:szCs w:val="26"/>
        </w:rPr>
        <w:t xml:space="preserve"> / </w:t>
      </w:r>
      <w:r>
        <w:rPr>
          <w:rFonts w:ascii="Times New Roman" w:hAnsi="Times New Roman" w:eastAsia="Calibri"/>
          <w:b/>
          <w:caps/>
          <w:szCs w:val="24"/>
        </w:rPr>
        <w:t xml:space="preserve">цены единицы товара, работы, услуги</w:t>
      </w:r>
      <w:r>
        <w:rPr>
          <w:rFonts w:ascii="Times New Roman" w:hAnsi="Times New Roman" w:eastAsia="Calibri"/>
          <w:b/>
          <w:caps/>
          <w:szCs w:val="24"/>
        </w:rPr>
      </w:r>
      <w:r>
        <w:rPr>
          <w:rFonts w:ascii="Times New Roman" w:hAnsi="Times New Roman" w:eastAsia="Calibri"/>
          <w:b/>
          <w:caps/>
          <w:szCs w:val="24"/>
        </w:rPr>
      </w:r>
    </w:p>
    <w:p>
      <w:pPr>
        <w:jc w:val="both"/>
        <w:spacing w:before="120" w:line="360" w:lineRule="exact"/>
        <w:rPr>
          <w:rFonts w:ascii="Times New Roman" w:hAnsi="Times New Roman" w:eastAsia="Calibri"/>
          <w:i/>
          <w:sz w:val="26"/>
          <w:szCs w:val="26"/>
          <w:highlight w:val="yellow"/>
        </w:rPr>
      </w:pPr>
      <w:r>
        <w:rPr>
          <w:rFonts w:ascii="Times New Roman" w:hAnsi="Times New Roman" w:eastAsia="Calibri"/>
          <w:i/>
          <w:sz w:val="26"/>
          <w:szCs w:val="26"/>
          <w:highlight w:val="yellow"/>
        </w:rPr>
      </w:r>
      <w:r>
        <w:rPr>
          <w:rFonts w:ascii="Times New Roman" w:hAnsi="Times New Roman" w:eastAsia="Calibri"/>
          <w:i/>
          <w:sz w:val="26"/>
          <w:szCs w:val="26"/>
          <w:highlight w:val="yellow"/>
        </w:rPr>
      </w:r>
      <w:r>
        <w:rPr>
          <w:rFonts w:ascii="Times New Roman" w:hAnsi="Times New Roman" w:eastAsia="Calibri"/>
          <w:i/>
          <w:sz w:val="26"/>
          <w:szCs w:val="26"/>
          <w:highlight w:val="yellow"/>
        </w:rPr>
      </w:r>
    </w:p>
    <w:p>
      <w:pPr>
        <w:numPr>
          <w:ilvl w:val="0"/>
          <w:numId w:val="1"/>
        </w:numPr>
        <w:ind w:left="714" w:hanging="357"/>
        <w:jc w:val="both"/>
        <w:spacing w:before="120" w:after="120" w:line="360" w:lineRule="exact"/>
        <w:rPr>
          <w:rFonts w:ascii="Times New Roman" w:hAnsi="Times New Roman" w:eastAsia="Calibri"/>
          <w:b/>
          <w:sz w:val="26"/>
          <w:szCs w:val="26"/>
        </w:rPr>
      </w:pPr>
      <w:r>
        <w:rPr>
          <w:rFonts w:ascii="Times New Roman" w:hAnsi="Times New Roman" w:eastAsia="Calibri"/>
          <w:b/>
          <w:sz w:val="26"/>
          <w:szCs w:val="26"/>
        </w:rPr>
        <w:t xml:space="preserve">Общая информация</w:t>
      </w:r>
      <w:r>
        <w:rPr>
          <w:rFonts w:ascii="Times New Roman" w:hAnsi="Times New Roman" w:eastAsia="Calibri"/>
          <w:b/>
          <w:sz w:val="26"/>
          <w:szCs w:val="26"/>
        </w:rPr>
      </w:r>
      <w:r>
        <w:rPr>
          <w:rFonts w:ascii="Times New Roman" w:hAnsi="Times New Roman" w:eastAsia="Calibri"/>
          <w:b/>
          <w:sz w:val="26"/>
          <w:szCs w:val="26"/>
        </w:rPr>
      </w:r>
    </w:p>
    <w:tbl>
      <w:tblPr>
        <w:tblStyle w:val="839"/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6692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contextualSpacing/>
              <w:jc w:val="center"/>
              <w:spacing w:before="120" w:line="360" w:lineRule="exac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2"/>
                <w:szCs w:val="22"/>
              </w:rPr>
              <w:t xml:space="preserve">№ п/п</w:t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before="120" w:line="360" w:lineRule="exac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</w:p>
        </w:tc>
        <w:tc>
          <w:tcPr>
            <w:tcW w:w="6692" w:type="dxa"/>
            <w:textDirection w:val="lrTb"/>
            <w:noWrap w:val="false"/>
          </w:tcPr>
          <w:p>
            <w:pPr>
              <w:contextualSpacing/>
              <w:jc w:val="center"/>
              <w:spacing w:before="120" w:line="360" w:lineRule="exac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2"/>
                <w:szCs w:val="22"/>
              </w:rPr>
              <w:t xml:space="preserve">Информация по лоту</w:t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1"/>
                <w:numId w:val="1"/>
              </w:numPr>
              <w:contextualSpacing/>
              <w:ind w:left="0" w:firstLine="0"/>
              <w:spacing w:before="120" w:after="120" w:line="360" w:lineRule="exac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2"/>
                <w:szCs w:val="22"/>
              </w:rPr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contextualSpacing/>
              <w:spacing w:before="120" w:line="360" w:lineRule="exac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2"/>
                <w:szCs w:val="22"/>
              </w:rPr>
              <w:t xml:space="preserve">Наименование лота</w:t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</w:p>
        </w:tc>
        <w:tc>
          <w:tcPr>
            <w:tcW w:w="66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ОКПД2 71</w:t>
            </w:r>
            <w:r>
              <w:rPr>
                <w:rFonts w:ascii="Times New Roman" w:hAnsi="Times New Roman"/>
                <w:i/>
              </w:rPr>
              <w:t xml:space="preserve">.12.40.120 Оказание услуг по поверке и сервисному обслуживанию конвейерных весов Хабаровской ТЭЦ-2, Хабаровской ТЭЦ-3, Комсомольской ТЭЦ-2, Амурской ТЭЦ-1, ТЭЦ в г. Советская Гавань, Партизанской ГРЭС, Нерюнгринской ГРЭС, Артемовской ТЭЦ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1"/>
                <w:numId w:val="1"/>
              </w:numPr>
              <w:contextualSpacing/>
              <w:ind w:left="0" w:firstLine="0"/>
              <w:spacing w:before="120" w:after="120" w:line="360" w:lineRule="exac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2"/>
                <w:szCs w:val="22"/>
              </w:rPr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contextualSpacing/>
              <w:spacing w:before="120" w:line="360" w:lineRule="exac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2"/>
                <w:szCs w:val="22"/>
              </w:rPr>
              <w:t xml:space="preserve">Номер лота</w:t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</w:p>
        </w:tc>
        <w:tc>
          <w:tcPr>
            <w:tcW w:w="6692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41044004-ЭКСП ПРОД-2026-ДГК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numPr>
                <w:ilvl w:val="1"/>
                <w:numId w:val="1"/>
              </w:numPr>
              <w:contextualSpacing/>
              <w:ind w:left="0" w:firstLine="0"/>
              <w:spacing w:before="120" w:after="120" w:line="360" w:lineRule="exac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2"/>
                <w:szCs w:val="22"/>
              </w:rPr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spacing w:before="120" w:line="360" w:lineRule="exac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2"/>
                <w:szCs w:val="22"/>
              </w:rPr>
              <w:t xml:space="preserve">Мониторинг цен</w:t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</w:p>
        </w:tc>
        <w:tc>
          <w:tcPr>
            <w:tcW w:w="66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RH29082500017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1"/>
                <w:numId w:val="1"/>
              </w:numPr>
              <w:contextualSpacing/>
              <w:ind w:left="0" w:firstLine="0"/>
              <w:spacing w:before="120" w:after="120" w:line="360" w:lineRule="exac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2"/>
                <w:szCs w:val="22"/>
              </w:rPr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contextualSpacing/>
              <w:spacing w:before="120" w:line="360" w:lineRule="exac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2"/>
                <w:szCs w:val="22"/>
              </w:rPr>
              <w:t xml:space="preserve">НМЦ лота</w:t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</w:p>
        </w:tc>
        <w:tc>
          <w:tcPr>
            <w:tcW w:w="6692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auto"/>
              </w:rPr>
              <w:t xml:space="preserve">4 020</w:t>
            </w:r>
            <w:r>
              <w:rPr>
                <w:rFonts w:ascii="Times New Roman" w:hAnsi="Times New Roman"/>
                <w:i/>
                <w:color w:val="auto"/>
              </w:rPr>
              <w:t xml:space="preserve"> 000,00</w:t>
            </w:r>
            <w:r>
              <w:rPr>
                <w:rFonts w:ascii="Times New Roman" w:hAnsi="Times New Roman"/>
                <w:i/>
                <w:color w:val="auto"/>
              </w:rPr>
              <w:t xml:space="preserve"> руб</w:t>
            </w:r>
            <w:r>
              <w:rPr>
                <w:rFonts w:ascii="Times New Roman" w:hAnsi="Times New Roman"/>
                <w:i/>
                <w:color w:val="auto"/>
              </w:rPr>
              <w:t xml:space="preserve">.</w:t>
            </w:r>
            <w:r>
              <w:rPr>
                <w:rFonts w:ascii="Times New Roman" w:hAnsi="Times New Roman"/>
                <w:i/>
              </w:rPr>
              <w:t xml:space="preserve"> (Без НДС)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</w:tbl>
    <w:p>
      <w:pPr>
        <w:jc w:val="both"/>
        <w:spacing w:before="120" w:line="360" w:lineRule="exact"/>
        <w:rPr>
          <w:rFonts w:ascii="Times New Roman" w:hAnsi="Times New Roman" w:eastAsia="Calibri"/>
          <w:i/>
          <w:sz w:val="26"/>
          <w:szCs w:val="26"/>
          <w:highlight w:val="yellow"/>
        </w:rPr>
      </w:pPr>
      <w:r>
        <w:rPr>
          <w:rFonts w:ascii="Times New Roman" w:hAnsi="Times New Roman" w:eastAsia="Calibri"/>
          <w:i/>
          <w:sz w:val="26"/>
          <w:szCs w:val="26"/>
          <w:highlight w:val="yellow"/>
        </w:rPr>
      </w:r>
      <w:r>
        <w:rPr>
          <w:rFonts w:ascii="Times New Roman" w:hAnsi="Times New Roman" w:eastAsia="Calibri"/>
          <w:i/>
          <w:sz w:val="26"/>
          <w:szCs w:val="26"/>
          <w:highlight w:val="yellow"/>
        </w:rPr>
      </w:r>
      <w:r>
        <w:rPr>
          <w:rFonts w:ascii="Times New Roman" w:hAnsi="Times New Roman" w:eastAsia="Calibri"/>
          <w:i/>
          <w:sz w:val="26"/>
          <w:szCs w:val="26"/>
          <w:highlight w:val="yellow"/>
        </w:rPr>
      </w:r>
    </w:p>
    <w:p>
      <w:pPr>
        <w:numPr>
          <w:ilvl w:val="0"/>
          <w:numId w:val="1"/>
        </w:numPr>
        <w:ind w:left="714" w:hanging="357"/>
        <w:jc w:val="both"/>
        <w:spacing w:before="120" w:after="120" w:line="360" w:lineRule="exact"/>
        <w:rPr>
          <w:rFonts w:ascii="Times New Roman" w:hAnsi="Times New Roman" w:eastAsia="Calibri"/>
          <w:b/>
          <w:sz w:val="26"/>
          <w:szCs w:val="26"/>
        </w:rPr>
      </w:pPr>
      <w:r>
        <w:rPr>
          <w:rFonts w:ascii="Times New Roman" w:hAnsi="Times New Roman" w:eastAsia="Calibri"/>
          <w:b/>
          <w:sz w:val="26"/>
          <w:szCs w:val="26"/>
        </w:rPr>
        <w:t xml:space="preserve">Использованный метод (методы) расчета НМЦ / цены единицы товара, работы, услуги:</w:t>
      </w:r>
      <w:r>
        <w:rPr>
          <w:rFonts w:ascii="Times New Roman" w:hAnsi="Times New Roman" w:eastAsia="Calibri"/>
          <w:b/>
          <w:sz w:val="26"/>
          <w:szCs w:val="26"/>
        </w:rPr>
      </w:r>
      <w:r>
        <w:rPr>
          <w:rFonts w:ascii="Times New Roman" w:hAnsi="Times New Roman" w:eastAsia="Calibri"/>
          <w:b/>
          <w:sz w:val="26"/>
          <w:szCs w:val="26"/>
        </w:rPr>
      </w:r>
    </w:p>
    <w:p>
      <w:pPr>
        <w:jc w:val="both"/>
        <w:spacing w:after="120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  <w:highlight w:val="none"/>
        </w:rPr>
      </w:r>
      <w:r>
        <w:rPr>
          <w:rFonts w:ascii="Times New Roman" w:hAnsi="Times New Roman" w:eastAsia="Calibri"/>
          <w:sz w:val="26"/>
          <w:szCs w:val="26"/>
        </w:rPr>
      </w:r>
      <w:r>
        <w:rPr>
          <w:rFonts w:ascii="Times New Roman" w:hAnsi="Times New Roman" w:eastAsia="Calibri"/>
          <w:sz w:val="26"/>
          <w:szCs w:val="26"/>
        </w:rPr>
      </w:r>
    </w:p>
    <w:p>
      <w:pPr>
        <w:jc w:val="both"/>
        <w:spacing w:after="120"/>
        <w:rPr>
          <w:rFonts w:ascii="Times New Roman" w:hAnsi="Times New Roman" w:eastAsia="Calibri"/>
          <w:sz w:val="26"/>
          <w:szCs w:val="26"/>
          <w:highlight w:val="none"/>
        </w:rPr>
      </w:pPr>
      <w:r>
        <w:rPr>
          <w:rFonts w:ascii="Times New Roman" w:hAnsi="Times New Roman" w:eastAsia="Calibri"/>
          <w:sz w:val="26"/>
          <w:szCs w:val="26"/>
        </w:rPr>
        <w:t xml:space="preserve">Метод</w:t>
      </w:r>
      <w:r>
        <w:rPr>
          <w:rFonts w:ascii="Times New Roman" w:hAnsi="Times New Roman" w:eastAsia="Calibri"/>
          <w:color w:val="auto"/>
          <w:sz w:val="26"/>
          <w:szCs w:val="26"/>
        </w:rPr>
        <w:t xml:space="preserve"> </w:t>
      </w:r>
      <w:r>
        <w:rPr>
          <w:rFonts w:ascii="Times New Roman" w:hAnsi="Times New Roman" w:eastAsia="Calibri"/>
          <w:color w:val="auto"/>
          <w:sz w:val="26"/>
          <w:szCs w:val="26"/>
        </w:rPr>
        <w:t xml:space="preserve">анализа технико-коммерческих предложений</w:t>
      </w:r>
      <w:r>
        <w:rPr>
          <w:rFonts w:ascii="Times New Roman" w:hAnsi="Times New Roman" w:eastAsia="Calibri"/>
          <w:sz w:val="26"/>
          <w:szCs w:val="26"/>
          <w:highlight w:val="none"/>
        </w:rPr>
      </w:r>
      <w:r>
        <w:rPr>
          <w:rFonts w:ascii="Times New Roman" w:hAnsi="Times New Roman" w:eastAsia="Calibri"/>
          <w:sz w:val="26"/>
          <w:szCs w:val="26"/>
          <w:highlight w:val="none"/>
        </w:rPr>
      </w:r>
    </w:p>
    <w:p>
      <w:pPr>
        <w:jc w:val="both"/>
        <w:spacing w:after="120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</w:rPr>
        <w:t xml:space="preserve">Обоснование расчета НМЦ:</w:t>
      </w:r>
      <w:r>
        <w:rPr>
          <w:rFonts w:ascii="Times New Roman" w:hAnsi="Times New Roman" w:eastAsia="Calibri"/>
          <w:sz w:val="26"/>
          <w:szCs w:val="26"/>
        </w:rPr>
      </w:r>
      <w:r>
        <w:rPr>
          <w:rFonts w:ascii="Times New Roman" w:hAnsi="Times New Roman" w:eastAsia="Calibri"/>
          <w:sz w:val="26"/>
          <w:szCs w:val="26"/>
        </w:rPr>
      </w:r>
    </w:p>
    <w:tbl>
      <w:tblPr>
        <w:tblW w:w="1034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31"/>
        <w:gridCol w:w="1871"/>
        <w:gridCol w:w="1984"/>
        <w:gridCol w:w="1701"/>
      </w:tblGrid>
      <w:tr>
        <w:tblPrEx/>
        <w:trPr>
          <w:trHeight w:val="70"/>
        </w:trPr>
        <w:tc>
          <w:tcPr>
            <w:shd w:val="clear" w:color="000000" w:fill="e7e6e6"/>
            <w:tcW w:w="3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  <w:t xml:space="preserve">Наименование товара/ работы/ услуги в составе лота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</w:p>
        </w:tc>
        <w:tc>
          <w:tcPr>
            <w:shd w:val="clear" w:color="000000" w:fill="e7e6e6"/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  <w:t xml:space="preserve">Наименование источника ценовой информации (ИЦИ)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</w:p>
        </w:tc>
        <w:tc>
          <w:tcPr>
            <w:shd w:val="clear" w:color="000000" w:fill="e7e6e6"/>
            <w:tcW w:w="1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  <w:t xml:space="preserve">Цена из соответствующего ИЦИ, в руб. без НДС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</w:p>
        </w:tc>
        <w:tc>
          <w:tcPr>
            <w:shd w:val="clear" w:color="000000" w:fill="e7e6e6"/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  <w:t xml:space="preserve">Цена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  <w:t xml:space="preserve">итоговая, в руб. без НДС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</w:p>
        </w:tc>
        <w:tc>
          <w:tcPr>
            <w:shd w:val="clear" w:color="000000" w:fill="e7e6e6"/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  <w:t xml:space="preserve">Комментарии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</w:p>
        </w:tc>
      </w:tr>
      <w:tr>
        <w:tblPrEx/>
        <w:trPr>
          <w:trHeight w:val="1038"/>
        </w:trPr>
        <w:tc>
          <w:tcPr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ОКПД2 71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.12.40.120 Оказание услуг по поверке и сервисному обслуживанию конвейерных весов Хабаровской ТЭЦ-2, Хабаровской ТЭЦ-3, Комсомольской ТЭЦ-2, Амурской ТЭЦ-1, ТЭЦ в г. Советская Гавань, Партизанской ГРЭС, Нерюнгринской ГРЭС, Артемовской ТЭЦ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531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ТКП № 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 xml:space="preserve">4 020 0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00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,00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  <w:p>
            <w:pPr>
              <w:jc w:val="center"/>
              <w:spacing w:before="60" w:after="60"/>
              <w:rPr>
                <w:rFonts w:ascii="Times New Roman" w:hAnsi="Times New Roman" w:cs="Times New Roman"/>
                <w:color w:val="ff0000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4 020 000,00</w:t>
            </w:r>
            <w:r>
              <w:rPr>
                <w:rFonts w:ascii="Times New Roman" w:hAnsi="Times New Roman" w:cs="Times New Roman"/>
                <w:color w:val="ff0000"/>
                <w:highlight w:val="none"/>
              </w:rPr>
            </w:r>
            <w:r>
              <w:rPr>
                <w:rFonts w:ascii="Times New Roman" w:hAnsi="Times New Roman" w:cs="Times New Roman"/>
                <w:color w:val="ff0000"/>
                <w:highlight w:val="none"/>
              </w:rPr>
            </w:r>
          </w:p>
          <w:p>
            <w:pPr>
              <w:jc w:val="center"/>
              <w:spacing w:before="60" w:after="6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right"/>
              <w:spacing w:before="60" w:after="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right"/>
              <w:spacing w:before="60" w:after="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spacing w:before="60" w:after="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spacing w:before="60" w:after="60"/>
              <w:rPr>
                <w:rFonts w:ascii="Times New Roman" w:hAnsi="Times New Roman" w:eastAsia="Times New Roman"/>
                <w:i/>
                <w:sz w:val="20"/>
                <w:shd w:val="clear" w:color="auto" w:fill="ffff99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0"/>
                <w:shd w:val="clear" w:color="auto" w:fill="ffff99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0"/>
                <w:shd w:val="clear" w:color="auto" w:fill="ffff99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0"/>
                <w:shd w:val="clear" w:color="auto" w:fill="ffff99"/>
                <w:lang w:eastAsia="ru-RU"/>
              </w:rPr>
            </w:r>
          </w:p>
        </w:tc>
      </w:tr>
      <w:tr>
        <w:tblPrEx/>
        <w:trPr>
          <w:trHeight w:val="982"/>
        </w:trPr>
        <w:tc>
          <w:tcPr>
            <w:tcW w:w="3261" w:type="dxa"/>
            <w:vMerge w:val="continue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eastAsia="Times New Roman"/>
                <w:bCs/>
                <w:color w:val="000000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highlight w:val="yellow"/>
                <w:lang w:eastAsia="ru-RU"/>
              </w:rPr>
            </w:r>
          </w:p>
        </w:tc>
        <w:tc>
          <w:tcPr>
            <w:shd w:val="clear" w:color="ffffff" w:fill="ffffff"/>
            <w:tcW w:w="1531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ТКП № 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4 500 000</w:t>
            </w:r>
            <w:r>
              <w:rPr>
                <w:rFonts w:ascii="Times New Roman" w:hAnsi="Times New Roman" w:cs="Times New Roman"/>
                <w:color w:val="auto"/>
              </w:rPr>
              <w:t xml:space="preserve">,00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1984" w:type="dxa"/>
            <w:vMerge w:val="continue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eastAsia="Calibri"/>
                <w:highlight w:val="yellow"/>
              </w:rPr>
            </w:pPr>
            <w:r>
              <w:rPr>
                <w:rFonts w:ascii="Times New Roman" w:hAnsi="Times New Roman" w:eastAsia="Calibri"/>
                <w:highlight w:val="yellow"/>
              </w:rPr>
            </w:r>
            <w:r>
              <w:rPr>
                <w:rFonts w:ascii="Times New Roman" w:hAnsi="Times New Roman" w:eastAsia="Calibri"/>
                <w:highlight w:val="yellow"/>
              </w:rPr>
            </w:r>
            <w:r>
              <w:rPr>
                <w:rFonts w:ascii="Times New Roman" w:hAnsi="Times New Roman" w:eastAsia="Calibri"/>
                <w:highlight w:val="yellow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eastAsia="Times New Roman"/>
                <w:i/>
                <w:sz w:val="20"/>
                <w:highlight w:val="yellow"/>
                <w:shd w:val="clear" w:color="auto" w:fill="ffff99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0"/>
                <w:highlight w:val="yellow"/>
                <w:shd w:val="clear" w:color="auto" w:fill="ffff99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0"/>
                <w:highlight w:val="yellow"/>
                <w:shd w:val="clear" w:color="auto" w:fill="ffff99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0"/>
                <w:highlight w:val="yellow"/>
                <w:shd w:val="clear" w:color="auto" w:fill="ffff99"/>
                <w:lang w:eastAsia="ru-RU"/>
              </w:rPr>
            </w:r>
          </w:p>
        </w:tc>
      </w:tr>
      <w:tr>
        <w:tblPrEx/>
        <w:trPr>
          <w:trHeight w:val="982"/>
        </w:trPr>
        <w:tc>
          <w:tcPr>
            <w:tcW w:w="3261" w:type="dxa"/>
            <w:vMerge w:val="continue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eastAsia="Times New Roman"/>
                <w:bCs/>
                <w:color w:val="000000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highlight w:val="yellow"/>
                <w:lang w:eastAsia="ru-RU"/>
              </w:rPr>
            </w:r>
          </w:p>
        </w:tc>
        <w:tc>
          <w:tcPr>
            <w:shd w:val="clear" w:color="ffffff" w:fill="ffffff"/>
            <w:tcW w:w="1531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ТКП № 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4 040 000,00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1984" w:type="dxa"/>
            <w:vMerge w:val="continue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eastAsia="Times New Roman"/>
                <w:i/>
                <w:sz w:val="20"/>
                <w:shd w:val="clear" w:color="auto" w:fill="ffff99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0"/>
                <w:shd w:val="clear" w:color="auto" w:fill="ffff99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0"/>
                <w:shd w:val="clear" w:color="auto" w:fill="ffff99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0"/>
                <w:shd w:val="clear" w:color="auto" w:fill="ffff99"/>
                <w:lang w:eastAsia="ru-RU"/>
              </w:rPr>
            </w:r>
          </w:p>
        </w:tc>
      </w:tr>
    </w:tbl>
    <w:p>
      <w:pPr>
        <w:contextualSpacing/>
        <w:jc w:val="both"/>
        <w:tabs>
          <w:tab w:val="left" w:pos="5610" w:leader="none"/>
        </w:tabs>
        <w:rPr>
          <w:rFonts w:ascii="Times New Roman" w:hAnsi="Times New Roman" w:eastAsia="Calibri"/>
          <w:sz w:val="26"/>
          <w:szCs w:val="26"/>
          <w:highlight w:val="white"/>
        </w:rPr>
      </w:pPr>
      <w:r>
        <w:rPr>
          <w:rFonts w:ascii="Times New Roman" w:hAnsi="Times New Roman" w:eastAsia="Calibri"/>
          <w:sz w:val="26"/>
          <w:szCs w:val="26"/>
          <w:highlight w:val="white"/>
        </w:rPr>
      </w:r>
      <w:r>
        <w:rPr>
          <w:rFonts w:ascii="Times New Roman" w:hAnsi="Times New Roman" w:eastAsia="Calibri"/>
          <w:sz w:val="26"/>
          <w:szCs w:val="26"/>
          <w:highlight w:val="white"/>
        </w:rPr>
      </w:r>
      <w:r>
        <w:rPr>
          <w:rFonts w:ascii="Times New Roman" w:hAnsi="Times New Roman" w:eastAsia="Calibri"/>
          <w:sz w:val="26"/>
          <w:szCs w:val="26"/>
          <w:highlight w:val="white"/>
        </w:rPr>
      </w:r>
    </w:p>
    <w:p>
      <w:pPr>
        <w:contextualSpacing/>
        <w:jc w:val="both"/>
        <w:tabs>
          <w:tab w:val="left" w:pos="5610" w:leader="none"/>
        </w:tabs>
        <w:rPr>
          <w:rFonts w:ascii="Times New Roman" w:hAnsi="Times New Roman" w:eastAsia="Calibri"/>
          <w:sz w:val="26"/>
          <w:szCs w:val="26"/>
          <w:highlight w:val="white"/>
        </w:rPr>
      </w:pPr>
      <w:r>
        <w:rPr>
          <w:rFonts w:ascii="Times New Roman" w:hAnsi="Times New Roman" w:eastAsia="Calibri"/>
          <w:sz w:val="26"/>
          <w:szCs w:val="26"/>
          <w:highlight w:val="white"/>
        </w:rPr>
      </w:r>
      <w:r>
        <w:rPr>
          <w:rFonts w:ascii="Times New Roman" w:hAnsi="Times New Roman" w:eastAsia="Calibri"/>
          <w:sz w:val="26"/>
          <w:szCs w:val="26"/>
          <w:highlight w:val="white"/>
        </w:rPr>
      </w:r>
      <w:r>
        <w:rPr>
          <w:rFonts w:ascii="Times New Roman" w:hAnsi="Times New Roman" w:eastAsia="Calibri"/>
          <w:sz w:val="26"/>
          <w:szCs w:val="26"/>
          <w:highlight w:val="white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neva">
    <w:panose1 w:val="02000603000000000000"/>
  </w:font>
  <w:font w:name="Times New Roman">
    <w:panose1 w:val="02020603050405020304"/>
  </w:font>
  <w:font w:name="Geneva CY">
    <w:panose1 w:val="02000603000000000000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5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5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5"/>
    <w:next w:val="835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0" w:line="240" w:lineRule="auto"/>
    </w:pPr>
    <w:rPr>
      <w:rFonts w:ascii="Geneva CY" w:hAnsi="Geneva CY" w:eastAsia="Geneva" w:cs="Times New Roman"/>
      <w:sz w:val="24"/>
      <w:szCs w:val="20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table" w:styleId="839" w:customStyle="1">
    <w:name w:val="Сетка таблицы1"/>
    <w:basedOn w:val="837"/>
    <w:next w:val="840"/>
    <w:uiPriority w:val="59"/>
    <w:pPr>
      <w:jc w:val="both"/>
      <w:spacing w:after="0" w:line="240" w:lineRule="auto"/>
    </w:pPr>
    <w:rPr>
      <w:rFonts w:ascii="Times New Roman" w:hAnsi="Times New Roman" w:eastAsia="Calibri" w:cs="Times New Roman"/>
      <w:sz w:val="26"/>
      <w:szCs w:val="26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0">
    <w:name w:val="Table Grid"/>
    <w:basedOn w:val="83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DVGK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Анохина Александра Владимировна</dc:creator>
  <cp:lastModifiedBy>khrapataya-ys</cp:lastModifiedBy>
  <cp:revision>14</cp:revision>
  <dcterms:created xsi:type="dcterms:W3CDTF">2022-05-17T03:27:00Z</dcterms:created>
  <dcterms:modified xsi:type="dcterms:W3CDTF">2026-03-02T06:32:10Z</dcterms:modified>
</cp:coreProperties>
</file>