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eastAsia="Times New Roman" w:cs="Times New Roman"/>
          <w:color w:val="000000" w:themeColor="text1"/>
          <w:sz w:val="26"/>
          <w:szCs w:val="26"/>
          <w:lang w:eastAsia="ru-RU"/>
        </w:rPr>
        <w:t>Приложение №1 к документации о закупке</w:t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eastAsia="Times New Roman" w:cs="Times New Roman"/>
          <w:color w:val="000000" w:themeColor="text1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eastAsia="Times New Roman" w:cs="Times New Roman"/>
          <w:color w:val="000000" w:themeColor="text1"/>
          <w:sz w:val="26"/>
          <w:szCs w:val="26"/>
          <w:lang w:eastAsia="ru-RU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  <w:highlight w:val="yellow"/>
        </w:rPr>
      </w:pPr>
      <w:r>
        <w:rPr>
          <w:b/>
          <w:bCs/>
          <w:sz w:val="26"/>
          <w:szCs w:val="26"/>
          <w:highlight w:val="yellow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rFonts w:eastAsia="Calibri"/>
          <w:i/>
          <w:iCs/>
          <w:shd w:fill="auto" w:val="clear"/>
        </w:rPr>
        <w:t>«ОКПД2 71.20.12.000 Оказание услуг по продлению срока безопасной эксплуатации зданий и сооружений для нужд структурных подразделений, расположенных в Хабаровском крае, Приморском крае, Амурской области и Республике Саха (Якутия)»</w:t>
      </w:r>
    </w:p>
    <w:p>
      <w:pPr>
        <w:pStyle w:val="Normal"/>
        <w:jc w:val="both"/>
        <w:rPr>
          <w:bCs/>
          <w:highlight w:val="none"/>
          <w:shd w:fill="auto" w:val="clear"/>
        </w:rPr>
      </w:pPr>
      <w:r>
        <w:rPr>
          <w:bCs/>
          <w:shd w:fill="auto" w:val="clear"/>
        </w:rPr>
      </w:r>
    </w:p>
    <w:p>
      <w:pPr>
        <w:pStyle w:val="Normal"/>
        <w:keepNext w:val="true"/>
        <w:keepLines/>
        <w:shd w:val="clear" w:color="auto" w:fill="auto"/>
        <w:jc w:val="center"/>
        <w:rPr>
          <w:highlight w:val="none"/>
          <w:shd w:fill="auto" w:val="clear"/>
        </w:rPr>
      </w:pPr>
      <w:r>
        <w:rPr>
          <w:rFonts w:eastAsia="Calibri"/>
          <w:b/>
          <w:sz w:val="26"/>
          <w:szCs w:val="26"/>
          <w:shd w:fill="auto" w:val="clear"/>
        </w:rPr>
        <w:t xml:space="preserve">Лот </w:t>
      </w:r>
      <w:r>
        <w:rPr>
          <w:rFonts w:eastAsia="Calibri"/>
          <w:b/>
          <w:bCs/>
          <w:sz w:val="26"/>
          <w:szCs w:val="26"/>
          <w:shd w:fill="auto" w:val="clear"/>
        </w:rPr>
        <w:t>№</w:t>
      </w:r>
      <w:r>
        <w:rPr>
          <w:rFonts w:eastAsia="Calibri"/>
          <w:b/>
          <w:bCs/>
          <w:sz w:val="22"/>
          <w:szCs w:val="22"/>
          <w:shd w:fill="auto" w:val="clear"/>
        </w:rPr>
        <w:t>41005003-ЭКСП ПРОД-2027-ДГК</w:t>
      </w:r>
    </w:p>
    <w:p>
      <w:pPr>
        <w:pStyle w:val="Normal"/>
        <w:keepNext w:val="true"/>
        <w:keepLines/>
        <w:shd w:val="clear" w:color="auto" w:fill="auto"/>
        <w:jc w:val="both"/>
        <w:rPr>
          <w:sz w:val="26"/>
          <w:szCs w:val="26"/>
          <w:highlight w:val="none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shd w:val="clear" w:color="auto" w:fill="auto"/>
        <w:jc w:val="both"/>
        <w:rPr>
          <w:sz w:val="26"/>
          <w:szCs w:val="26"/>
          <w:highlight w:val="none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shd w:val="clear" w:color="auto" w:fill="auto"/>
        <w:jc w:val="left"/>
        <w:rPr>
          <w:sz w:val="26"/>
          <w:szCs w:val="26"/>
          <w:highlight w:val="none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7" w:leader="none"/>
              <w:tab w:val="right" w:pos="9911" w:leader="dot"/>
            </w:tabs>
            <w:rPr>
              <w:caps/>
            </w:rPr>
          </w:pPr>
          <w:r>
            <w:fldChar w:fldCharType="begin"/>
          </w:r>
          <w:r>
            <w:rPr>
              <w:webHidden/>
              <w:rStyle w:val="Style16"/>
              <w:vanish w:val="false"/>
              <w:rFonts w:eastAsia="Calibri" w:cs="Times New Roman"/>
            </w:rPr>
            <w:instrText xml:space="preserve"> TOC \z \o "1-4" \u \h</w:instrText>
          </w:r>
          <w:r>
            <w:rPr>
              <w:webHidden/>
              <w:rStyle w:val="Style16"/>
              <w:vanish w:val="false"/>
              <w:rFonts w:eastAsia="Calibri" w:cs="Times New Roman"/>
            </w:rPr>
            <w:fldChar w:fldCharType="separate"/>
          </w:r>
          <w:hyperlink w:anchor="_Toc1" w:tgtFrame="#_Toc1">
            <w:r>
              <w:rPr>
                <w:webHidden/>
                <w:rStyle w:val="Style16"/>
                <w:rFonts w:eastAsia="Calibri" w:cs="Times New Roman"/>
                <w:vanish w:val="false"/>
              </w:rPr>
              <w:t>1.</w:t>
            </w:r>
            <w:r>
              <w:rPr>
                <w:rStyle w:val="Style16"/>
              </w:rPr>
              <w:tab/>
              <w:t>Общие сведения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caps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left" w:pos="1120" w:leader="none"/>
              <w:tab w:val="left" w:pos="1417" w:leader="none"/>
              <w:tab w:val="right" w:pos="9911" w:leader="dot"/>
            </w:tabs>
            <w:rPr/>
          </w:pPr>
          <w:hyperlink w:anchor="_Toc2" w:tgtFrame="#_Toc2">
            <w:r>
              <w:rPr>
                <w:webHidden/>
                <w:rStyle w:val="Style16"/>
                <w:rFonts w:eastAsia="Calibri" w:cs="Times New Roman"/>
                <w:vanish w:val="false"/>
              </w:rPr>
              <w:t>1.1.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ab/>
              <w:t>Обозначения и сокращения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left" w:pos="1120" w:leader="none"/>
              <w:tab w:val="left" w:pos="1417" w:leader="none"/>
              <w:tab w:val="right" w:pos="9911" w:leader="dot"/>
            </w:tabs>
            <w:rPr>
              <w:highlight w:val="none"/>
            </w:rPr>
          </w:pPr>
          <w:hyperlink w:anchor="_Toc3" w:tgtFrame="#_Toc3">
            <w:r>
              <w:rPr>
                <w:webHidden/>
                <w:rStyle w:val="Style16"/>
                <w:rFonts w:eastAsia="Calibri" w:cs="Times New Roman"/>
                <w:vanish w:val="false"/>
              </w:rPr>
              <w:t>1.2.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ab/>
              <w:t>Наименование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left" w:pos="1120" w:leader="none"/>
              <w:tab w:val="left" w:pos="1417" w:leader="none"/>
              <w:tab w:val="right" w:pos="9911" w:leader="dot"/>
            </w:tabs>
            <w:rPr>
              <w:highlight w:val="none"/>
            </w:rPr>
          </w:pPr>
          <w:hyperlink w:anchor="_Toc4" w:tgtFrame="#_Toc4">
            <w:r>
              <w:rPr>
                <w:webHidden/>
                <w:rStyle w:val="Style16"/>
                <w:rFonts w:eastAsia="Calibri" w:cs="Times New Roman"/>
                <w:vanish w:val="false"/>
              </w:rPr>
              <w:t>1.3.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ab/>
              <w:t>Цель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left" w:pos="1120" w:leader="none"/>
              <w:tab w:val="left" w:pos="1417" w:leader="none"/>
              <w:tab w:val="right" w:pos="9911" w:leader="dot"/>
            </w:tabs>
            <w:rPr/>
          </w:pPr>
          <w:hyperlink w:anchor="_Toc5" w:tgtFrame="#_Toc5">
            <w:r>
              <w:rPr>
                <w:webHidden/>
                <w:rStyle w:val="Style16"/>
                <w:rFonts w:eastAsia="Calibri" w:cs="Times New Roman"/>
                <w:vanish w:val="false"/>
              </w:rPr>
              <w:t>1.4.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ab/>
              <w:t>Существующее положение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6" w:tgtFrame="#_Toc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_Toc6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6"/>
                <w:vanish w:val="false"/>
              </w:rPr>
              <w:t>Таблица 1. Перечень объектов заказчика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7" w:leader="none"/>
              <w:tab w:val="right" w:pos="9911" w:leader="dot"/>
            </w:tabs>
            <w:rPr>
              <w:iCs/>
              <w:caps/>
            </w:rPr>
          </w:pPr>
          <w:hyperlink w:anchor="_Toc7" w:tgtFrame="#_Toc7">
            <w:r>
              <w:rPr>
                <w:webHidden/>
                <w:rStyle w:val="Style16"/>
                <w:rFonts w:eastAsia="Calibri" w:cs="Times New Roman"/>
                <w:vanish w:val="false"/>
              </w:rPr>
              <w:t>2.</w:t>
            </w:r>
            <w:r>
              <w:rPr>
                <w:rStyle w:val="Style16"/>
              </w:rPr>
              <w:tab/>
            </w:r>
            <w:r>
              <w:rPr>
                <w:rStyle w:val="Style16"/>
                <w:iCs/>
              </w:rPr>
              <w:t>Требования к продукции</w:t>
            </w:r>
            <w:r>
              <w:rPr>
                <w:rStyle w:val="Style16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iCs/>
                <w:caps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left" w:pos="1120" w:leader="none"/>
              <w:tab w:val="left" w:pos="1417" w:leader="none"/>
              <w:tab w:val="right" w:pos="9911" w:leader="dot"/>
            </w:tabs>
            <w:rPr/>
          </w:pPr>
          <w:hyperlink w:anchor="_Toc8" w:tgtFrame="#_Toc8">
            <w:r>
              <w:rPr>
                <w:webHidden/>
                <w:rStyle w:val="Style16"/>
                <w:rFonts w:eastAsia="Calibri" w:cs="Times New Roman"/>
                <w:vanish w:val="false"/>
              </w:rPr>
              <w:t>2.1.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ab/>
              <w:t>Требования к объемам и срокам оказания услуг</w:t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34" w:leader="none"/>
              <w:tab w:val="right" w:pos="9911" w:leader="dot"/>
            </w:tabs>
            <w:rPr/>
          </w:pPr>
          <w:hyperlink w:anchor="_Toc9" w:tgtFrame="#_Toc9">
            <w:r>
              <w:rPr>
                <w:webHidden/>
                <w:rStyle w:val="Style16"/>
                <w:rFonts w:eastAsia="Calibri" w:cs="Times New Roman"/>
                <w:vanish w:val="false"/>
              </w:rPr>
              <w:t>2.1.1.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ab/>
              <w:t>Требования к перечню и объему услуг</w:t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10" w:tgtFrame="#_Toc10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6"/>
                <w:vanish w:val="false"/>
              </w:rPr>
              <w:t>Таблица 2. Перечень и объем оказываемых услуг</w:t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34" w:leader="none"/>
              <w:tab w:val="right" w:pos="9911" w:leader="dot"/>
            </w:tabs>
            <w:rPr/>
          </w:pPr>
          <w:hyperlink w:anchor="_Toc11" w:tgtFrame="#_Toc11">
            <w:r>
              <w:rPr>
                <w:webHidden/>
                <w:rStyle w:val="Style16"/>
                <w:rFonts w:eastAsia="Calibri" w:cs="Times New Roman"/>
                <w:vanish w:val="false"/>
              </w:rPr>
              <w:t>2.1.2.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ab/>
              <w:t>Требования к срокам оказания услуг</w:t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highlight w:val="none"/>
            </w:rPr>
          </w:pPr>
          <w:hyperlink w:anchor="_Toc12" w:tgtFrame="#_Toc12">
            <w:r>
              <w:rPr>
                <w:webHidden/>
                <w:rStyle w:val="Style16"/>
                <w:vanish w:val="false"/>
              </w:rPr>
              <w:t>Таблица 3. 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left" w:pos="1120" w:leader="none"/>
              <w:tab w:val="left" w:pos="1417" w:leader="none"/>
              <w:tab w:val="right" w:pos="9911" w:leader="dot"/>
            </w:tabs>
            <w:rPr/>
          </w:pPr>
          <w:hyperlink w:anchor="_Toc13" w:tgtFrame="#_Toc13">
            <w:r>
              <w:rPr>
                <w:webHidden/>
                <w:rStyle w:val="Style16"/>
                <w:rFonts w:eastAsia="Calibri" w:cs="Times New Roman"/>
                <w:vanish w:val="false"/>
              </w:rPr>
              <w:t>2.2.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ab/>
              <w:t>Требования к качеству продукции</w:t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14" w:tgtFrame="#_Toc14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6"/>
                <w:vanish w:val="false"/>
              </w:rPr>
              <w:t>Таблица 4. Требования к качеству продукции</w:t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7" w:leader="none"/>
              <w:tab w:val="right" w:pos="9911" w:leader="dot"/>
            </w:tabs>
            <w:rPr/>
          </w:pPr>
          <w:hyperlink w:anchor="_Toc15" w:tgtFrame="#_Toc15">
            <w:r>
              <w:rPr>
                <w:webHidden/>
                <w:rStyle w:val="Style16"/>
                <w:rFonts w:eastAsia="Calibri" w:cs="Times New Roman"/>
                <w:vanish w:val="false"/>
              </w:rPr>
              <w:t>3.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ab/>
              <w:t>Требования к документации по ценообразованию на этапе закупки</w:t>
              <w:tab/>
              <w:t>29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7" w:leader="none"/>
              <w:tab w:val="right" w:pos="9911" w:leader="dot"/>
            </w:tabs>
            <w:rPr/>
          </w:pPr>
          <w:hyperlink w:anchor="_Toc16" w:tgtFrame="#_Toc16">
            <w:r>
              <w:rPr>
                <w:webHidden/>
                <w:rStyle w:val="Style16"/>
                <w:rFonts w:eastAsia="Calibri" w:cs="Times New Roman"/>
                <w:vanish w:val="false"/>
              </w:rPr>
              <w:t>4.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ab/>
              <w:t>Требования к документации по ценообразованию на этапе заключения (исполнения) договора</w:t>
              <w:tab/>
              <w:t>29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7" w:leader="none"/>
              <w:tab w:val="right" w:pos="9911" w:leader="dot"/>
            </w:tabs>
            <w:rPr>
              <w:iCs/>
              <w:caps/>
            </w:rPr>
          </w:pPr>
          <w:hyperlink w:anchor="_Toc17" w:tgtFrame="#_Toc17">
            <w:r>
              <w:rPr>
                <w:webHidden/>
                <w:rStyle w:val="Style16"/>
                <w:rFonts w:eastAsia="Calibri" w:cs="Times New Roman"/>
                <w:vanish w:val="false"/>
              </w:rPr>
              <w:t>5.</w:t>
            </w:r>
            <w:r>
              <w:rPr>
                <w:rStyle w:val="Style16"/>
              </w:rPr>
              <w:tab/>
            </w:r>
            <w:r>
              <w:rPr>
                <w:rStyle w:val="Style16"/>
                <w:iCs/>
                <w:lang w:val="ru-RU"/>
              </w:rPr>
              <w:t>Приложения</w:t>
            </w:r>
            <w:r>
              <w:rPr>
                <w:rStyle w:val="Style16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iCs/>
                <w:caps/>
              </w:rPr>
              <w:t>30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6"/>
              <w:caps/>
              <w:iCs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tabs>
          <w:tab w:val="clear" w:pos="708"/>
          <w:tab w:val="left" w:pos="1120" w:leader="none"/>
          <w:tab w:val="left" w:pos="1134" w:leader="none"/>
          <w:tab w:val="left" w:pos="1417" w:leader="none"/>
          <w:tab w:val="right" w:pos="9911" w:leader="dot"/>
        </w:tabs>
        <w:ind w:firstLine="709" w:left="0" w:right="0"/>
        <w:jc w:val="left"/>
        <w:rPr>
          <w:b w:val="false"/>
          <w:bCs/>
          <w:i/>
          <w:i/>
        </w:rPr>
      </w:pPr>
      <w:r>
        <w:rPr>
          <w:b w:val="false"/>
          <w:bCs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</w:rPr>
      </w:pPr>
      <w:bookmarkStart w:id="0" w:name="_Toc1"/>
      <w:r>
        <w:rPr/>
        <w:t>Общие сведения</w:t>
      </w:r>
      <w:bookmarkEnd w:id="0"/>
    </w:p>
    <w:p>
      <w:pPr>
        <w:pStyle w:val="Heading4"/>
        <w:numPr>
          <w:ilvl w:val="1"/>
          <w:numId w:val="3"/>
        </w:numPr>
        <w:rPr/>
      </w:pPr>
      <w:bookmarkStart w:id="1" w:name="_Toc2"/>
      <w:r>
        <w:rPr/>
        <w:t>Обозначения и сокращения</w:t>
      </w:r>
      <w:bookmarkEnd w:id="1"/>
    </w:p>
    <w:p>
      <w:pPr>
        <w:pStyle w:val="Normal"/>
        <w:rPr/>
      </w:pPr>
      <w:r>
        <w:rPr/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ЭПБ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Экспертиза промышленной безопасности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НТД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Нормативно-техническая документация</w:t>
            </w:r>
          </w:p>
        </w:tc>
      </w:tr>
      <w:tr>
        <w:trPr>
          <w:trHeight w:val="276" w:hRule="atLeast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Здания и сооружения</w:t>
            </w:r>
          </w:p>
        </w:tc>
      </w:tr>
      <w:tr>
        <w:trPr>
          <w:trHeight w:val="276" w:hRule="atLeast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Свод правил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tabs>
          <w:tab w:val="clear" w:pos="708"/>
          <w:tab w:val="left" w:pos="1134" w:leader="none"/>
        </w:tabs>
        <w:ind w:firstLine="709" w:left="0"/>
        <w:rPr>
          <w:highlight w:val="none"/>
        </w:rPr>
      </w:pPr>
      <w:bookmarkStart w:id="2" w:name="_Toc3"/>
      <w:r>
        <w:rPr/>
        <w:t>Наименование закупаемой продукции</w:t>
      </w:r>
      <w:bookmarkEnd w:id="2"/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709"/>
        <w:jc w:val="both"/>
        <w:rPr>
          <w:highlight w:val="none"/>
          <w:shd w:fill="auto" w:val="clear"/>
        </w:rPr>
      </w:pPr>
      <w:r>
        <w:rPr>
          <w:rFonts w:eastAsia="Calibri"/>
          <w:i/>
          <w:iCs/>
          <w:sz w:val="24"/>
          <w:szCs w:val="24"/>
          <w:shd w:fill="auto" w:val="clear"/>
        </w:rPr>
        <w:t>«ОКПД2 71.20.12.000 Оказание услуг по продлению срока безопасной эксплуатации зданий и сооружений для нужд структурных подразделений, расположенных в Хабаровском крае, Приморском крае, Амурской области и Республике Саха (Якутия)».</w:t>
      </w:r>
    </w:p>
    <w:p>
      <w:pPr>
        <w:pStyle w:val="Heading4"/>
        <w:numPr>
          <w:ilvl w:val="1"/>
          <w:numId w:val="3"/>
        </w:numPr>
        <w:tabs>
          <w:tab w:val="clear" w:pos="708"/>
          <w:tab w:val="left" w:pos="1134" w:leader="none"/>
        </w:tabs>
        <w:spacing w:before="240" w:after="60"/>
        <w:ind w:firstLine="709" w:left="0"/>
        <w:rPr>
          <w:highlight w:val="none"/>
        </w:rPr>
      </w:pPr>
      <w:bookmarkStart w:id="3" w:name="_Toc4"/>
      <w:r>
        <w:rPr/>
        <w:t>Цель оказания услуг</w:t>
      </w:r>
      <w:bookmarkEnd w:id="3"/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709"/>
        <w:jc w:val="both"/>
        <w:rPr>
          <w:rFonts w:eastAsia="Calibri"/>
          <w:i/>
          <w:i/>
          <w:iCs/>
          <w:sz w:val="24"/>
          <w:szCs w:val="24"/>
          <w:highlight w:val="yellow"/>
        </w:rPr>
      </w:pPr>
      <w:r>
        <w:rPr>
          <w:rFonts w:eastAsia="Calibri"/>
          <w:i/>
          <w:iCs/>
          <w:sz w:val="24"/>
          <w:szCs w:val="24"/>
        </w:rPr>
        <w:t>Целью оказания услуг является оценка соответствия объектов Заказчика, предъявляемых к ним требованиям промышленной безопасности, согласно Федерального закона 21.07.1997 №116-ФЗ «О промышленной безопасности опасных производственных объектов» и иным нормативно-правовым актам Российской Федерации. Определение фактического состояния оборудования, достаточности и надежности, разработанных и реализованных мер по обеспечению требований промышленной безопасности, расчет остаточного ресурса и оценка возможности продления срока безопасной эксплуатации.</w:t>
      </w:r>
    </w:p>
    <w:p>
      <w:pPr>
        <w:pStyle w:val="Heading4"/>
        <w:numPr>
          <w:ilvl w:val="1"/>
          <w:numId w:val="3"/>
        </w:numPr>
        <w:tabs>
          <w:tab w:val="clear" w:pos="708"/>
          <w:tab w:val="left" w:pos="1134" w:leader="none"/>
        </w:tabs>
        <w:ind w:firstLine="709" w:left="0"/>
        <w:rPr/>
      </w:pPr>
      <w:bookmarkStart w:id="4" w:name="_Toc5"/>
      <w:r>
        <w:rPr/>
        <w:t>Существующее положение</w:t>
      </w:r>
      <w:bookmarkEnd w:id="4"/>
    </w:p>
    <w:p>
      <w:pPr>
        <w:pStyle w:val="Normal"/>
        <w:widowControl w:val="false"/>
        <w:tabs>
          <w:tab w:val="clear" w:pos="708"/>
          <w:tab w:val="left" w:pos="426" w:leader="none"/>
          <w:tab w:val="left" w:pos="1701" w:leader="none"/>
        </w:tabs>
        <w:ind w:firstLine="709"/>
        <w:jc w:val="both"/>
        <w:rPr>
          <w:rFonts w:eastAsia="Calibri"/>
          <w:bCs/>
          <w:i/>
          <w:i/>
          <w:sz w:val="24"/>
          <w:szCs w:val="24"/>
          <w:highlight w:val="none"/>
        </w:rPr>
      </w:pPr>
      <w:r>
        <w:rPr>
          <w:rFonts w:eastAsia="Calibri"/>
          <w:i/>
          <w:iCs/>
          <w:sz w:val="24"/>
          <w:szCs w:val="24"/>
        </w:rPr>
        <w:t>Оказание услуг производится для нужд структурных подразделений Заказчика по адресам:</w:t>
      </w:r>
    </w:p>
    <w:p>
      <w:pPr>
        <w:pStyle w:val="Normal"/>
        <w:widowControl w:val="false"/>
        <w:tabs>
          <w:tab w:val="clear" w:pos="708"/>
          <w:tab w:val="left" w:pos="426" w:leader="none"/>
          <w:tab w:val="left" w:pos="1701" w:leader="none"/>
        </w:tabs>
        <w:ind w:firstLine="709"/>
        <w:jc w:val="both"/>
        <w:rPr>
          <w:rFonts w:eastAsia="Calibri"/>
          <w:bCs/>
          <w:i/>
          <w:i/>
          <w:sz w:val="24"/>
          <w:szCs w:val="24"/>
        </w:rPr>
      </w:pPr>
      <w:r>
        <w:rPr>
          <w:rFonts w:eastAsia="Calibri"/>
          <w:bCs/>
          <w:i/>
          <w:sz w:val="24"/>
          <w:szCs w:val="24"/>
        </w:rPr>
      </w:r>
    </w:p>
    <w:p>
      <w:pPr>
        <w:pStyle w:val="ListParagraph"/>
        <w:widowControl w:val="false"/>
        <w:numPr>
          <w:ilvl w:val="0"/>
          <w:numId w:val="15"/>
        </w:numPr>
        <w:tabs>
          <w:tab w:val="clear" w:pos="708"/>
          <w:tab w:val="left" w:pos="426" w:leader="none"/>
          <w:tab w:val="left" w:pos="992" w:leader="none"/>
        </w:tabs>
        <w:ind w:firstLine="709" w:left="0" w:right="0"/>
        <w:jc w:val="both"/>
        <w:rPr>
          <w:highlight w:val="none"/>
          <w:shd w:fill="auto" w:val="clear"/>
        </w:rPr>
      </w:pPr>
      <w:r>
        <w:rPr>
          <w:i/>
          <w:iCs/>
          <w:color w:val="000000" w:themeColor="text1"/>
          <w:sz w:val="24"/>
          <w:szCs w:val="24"/>
          <w:shd w:fill="auto" w:val="clear"/>
        </w:rPr>
        <w:t>СП «</w:t>
      </w:r>
      <w:r>
        <w:rPr>
          <w:i/>
          <w:iCs/>
          <w:color w:val="000000"/>
          <w:sz w:val="24"/>
          <w:szCs w:val="24"/>
          <w:shd w:fill="auto" w:val="clear"/>
        </w:rPr>
        <w:t>Хабаровские тепловые сети</w:t>
      </w:r>
      <w:r>
        <w:rPr>
          <w:i/>
          <w:iCs/>
          <w:color w:val="000000" w:themeColor="text1"/>
          <w:sz w:val="24"/>
          <w:szCs w:val="24"/>
          <w:shd w:fill="auto" w:val="clear"/>
        </w:rPr>
        <w:t>» - 680012, Хабаровский край, г. Хабаровск, ул. Флегонтова, 13а;</w:t>
      </w:r>
    </w:p>
    <w:p>
      <w:pPr>
        <w:pStyle w:val="ListParagraph"/>
        <w:widowControl w:val="false"/>
        <w:numPr>
          <w:ilvl w:val="0"/>
          <w:numId w:val="15"/>
        </w:numPr>
        <w:tabs>
          <w:tab w:val="clear" w:pos="708"/>
          <w:tab w:val="left" w:pos="426" w:leader="none"/>
          <w:tab w:val="left" w:pos="992" w:leader="none"/>
        </w:tabs>
        <w:ind w:firstLine="709" w:left="0" w:right="0"/>
        <w:jc w:val="both"/>
        <w:rPr>
          <w:color w:themeColor="text1"/>
          <w:highlight w:val="none"/>
          <w:shd w:fill="auto" w:val="clear"/>
        </w:rPr>
      </w:pPr>
      <w:r>
        <w:rPr>
          <w:i/>
          <w:iCs/>
          <w:color w:val="000000" w:themeColor="text1"/>
          <w:sz w:val="24"/>
          <w:szCs w:val="24"/>
          <w:shd w:fill="auto" w:val="clear"/>
        </w:rPr>
        <w:t>СП «Нерюнгринская ГРЭС» - 678995, Республика Саха (Якутия), п. Серебряный Бор, промышленная зона;</w:t>
      </w:r>
    </w:p>
    <w:p>
      <w:pPr>
        <w:pStyle w:val="ListParagraph"/>
        <w:widowControl w:val="false"/>
        <w:numPr>
          <w:ilvl w:val="0"/>
          <w:numId w:val="15"/>
        </w:numPr>
        <w:tabs>
          <w:tab w:val="clear" w:pos="708"/>
          <w:tab w:val="left" w:pos="426" w:leader="none"/>
          <w:tab w:val="left" w:pos="992" w:leader="none"/>
        </w:tabs>
        <w:ind w:firstLine="709" w:left="0" w:right="0"/>
        <w:jc w:val="both"/>
        <w:rPr>
          <w:color w:themeColor="text1"/>
          <w:highlight w:val="none"/>
          <w:shd w:fill="auto" w:val="clear"/>
        </w:rPr>
      </w:pPr>
      <w:r>
        <w:rPr>
          <w:i/>
          <w:iCs/>
          <w:color w:val="000000" w:themeColor="text1"/>
          <w:sz w:val="24"/>
          <w:szCs w:val="24"/>
          <w:shd w:fill="auto" w:val="clear"/>
        </w:rPr>
        <w:t>СП «Хабаровская ТЭЦ-2» - 680026, Хабаровский край, г. Хабаровск, пер. Сормовский, 1;</w:t>
      </w:r>
    </w:p>
    <w:p>
      <w:pPr>
        <w:pStyle w:val="ListParagraph"/>
        <w:widowControl w:val="false"/>
        <w:numPr>
          <w:ilvl w:val="0"/>
          <w:numId w:val="15"/>
        </w:numPr>
        <w:tabs>
          <w:tab w:val="clear" w:pos="708"/>
          <w:tab w:val="left" w:pos="426" w:leader="none"/>
          <w:tab w:val="left" w:pos="992" w:leader="none"/>
        </w:tabs>
        <w:ind w:firstLine="709" w:left="0" w:right="0"/>
        <w:jc w:val="both"/>
        <w:rPr>
          <w:color w:themeColor="text1"/>
          <w:highlight w:val="none"/>
          <w:shd w:fill="auto" w:val="clear"/>
        </w:rPr>
      </w:pPr>
      <w:r>
        <w:rPr>
          <w:i/>
          <w:iCs/>
          <w:color w:val="000000" w:themeColor="text1"/>
          <w:sz w:val="24"/>
          <w:szCs w:val="24"/>
          <w:shd w:fill="auto" w:val="clear"/>
        </w:rPr>
        <w:t>СП «Хабаровская ТЭЦ-1» - 680015, Хабаровский край, г. Хабаровск, ул. Узловая, 15а;</w:t>
      </w:r>
    </w:p>
    <w:p>
      <w:pPr>
        <w:pStyle w:val="ListParagraph"/>
        <w:widowControl w:val="false"/>
        <w:numPr>
          <w:ilvl w:val="0"/>
          <w:numId w:val="15"/>
        </w:numPr>
        <w:tabs>
          <w:tab w:val="clear" w:pos="708"/>
          <w:tab w:val="left" w:pos="426" w:leader="none"/>
          <w:tab w:val="left" w:pos="992" w:leader="none"/>
        </w:tabs>
        <w:ind w:firstLine="709" w:left="0" w:right="0"/>
        <w:jc w:val="both"/>
        <w:rPr>
          <w:color w:themeColor="text1"/>
          <w:highlight w:val="none"/>
          <w:shd w:fill="auto" w:val="clear"/>
        </w:rPr>
      </w:pPr>
      <w:r>
        <w:rPr>
          <w:i/>
          <w:iCs/>
          <w:color w:val="000000" w:themeColor="text1"/>
          <w:sz w:val="24"/>
          <w:szCs w:val="24"/>
          <w:shd w:fill="auto" w:val="clear"/>
        </w:rPr>
        <w:t>СП «Амурская ТЭЦ-1» - 682640, Хабаровский край, г. Амурск, Западное шоссе, 10;</w:t>
      </w:r>
    </w:p>
    <w:p>
      <w:pPr>
        <w:pStyle w:val="ListParagraph"/>
        <w:widowControl w:val="false"/>
        <w:numPr>
          <w:ilvl w:val="0"/>
          <w:numId w:val="15"/>
        </w:numPr>
        <w:tabs>
          <w:tab w:val="clear" w:pos="708"/>
          <w:tab w:val="left" w:pos="426" w:leader="none"/>
          <w:tab w:val="left" w:pos="992" w:leader="none"/>
        </w:tabs>
        <w:ind w:firstLine="709" w:left="0" w:right="0"/>
        <w:jc w:val="both"/>
        <w:rPr>
          <w:color w:themeColor="text1"/>
          <w:highlight w:val="none"/>
          <w:shd w:fill="auto" w:val="clear"/>
        </w:rPr>
      </w:pPr>
      <w:r>
        <w:rPr>
          <w:i/>
          <w:iCs/>
          <w:color w:val="000000" w:themeColor="text1"/>
          <w:sz w:val="24"/>
          <w:szCs w:val="24"/>
          <w:shd w:fill="auto" w:val="clear"/>
        </w:rPr>
        <w:t>СП «Комсомольская ТЭЦ-3» - 681034, Хабаровский край, г. Комсомольск-на-Амуре, Северное шоссе, 151;</w:t>
      </w:r>
    </w:p>
    <w:p>
      <w:pPr>
        <w:pStyle w:val="ListParagraph"/>
        <w:widowControl w:val="false"/>
        <w:numPr>
          <w:ilvl w:val="0"/>
          <w:numId w:val="15"/>
        </w:numPr>
        <w:tabs>
          <w:tab w:val="clear" w:pos="708"/>
          <w:tab w:val="left" w:pos="426" w:leader="none"/>
          <w:tab w:val="left" w:pos="992" w:leader="none"/>
        </w:tabs>
        <w:ind w:firstLine="709" w:left="0" w:right="0"/>
        <w:jc w:val="both"/>
        <w:rPr>
          <w:color w:themeColor="text1"/>
          <w:highlight w:val="none"/>
          <w:shd w:fill="auto" w:val="clear"/>
        </w:rPr>
      </w:pPr>
      <w:r>
        <w:rPr>
          <w:i/>
          <w:iCs/>
          <w:color w:val="000000" w:themeColor="text1"/>
          <w:sz w:val="24"/>
          <w:szCs w:val="24"/>
          <w:shd w:fill="auto" w:val="clear"/>
        </w:rPr>
        <w:t>СП «Райчихинская ГРЭС» - 676791 Амурская область, пгт. Прогресс, ул. Бурейская, 1</w:t>
      </w:r>
      <w:r>
        <w:rPr>
          <w:bCs/>
          <w:i/>
          <w:iCs/>
          <w:color w:val="000000" w:themeColor="text1"/>
          <w:sz w:val="24"/>
          <w:szCs w:val="24"/>
          <w:shd w:fill="auto" w:val="clear"/>
        </w:rPr>
        <w:t>;</w:t>
      </w:r>
    </w:p>
    <w:p>
      <w:pPr>
        <w:pStyle w:val="ListParagraph"/>
        <w:widowControl w:val="false"/>
        <w:numPr>
          <w:ilvl w:val="0"/>
          <w:numId w:val="15"/>
        </w:numPr>
        <w:tabs>
          <w:tab w:val="clear" w:pos="708"/>
          <w:tab w:val="left" w:pos="426" w:leader="none"/>
          <w:tab w:val="left" w:pos="992" w:leader="none"/>
        </w:tabs>
        <w:ind w:firstLine="709" w:left="0" w:right="0"/>
        <w:jc w:val="both"/>
        <w:rPr>
          <w:highlight w:val="none"/>
          <w:shd w:fill="auto" w:val="clear"/>
        </w:rPr>
      </w:pPr>
      <w:r>
        <w:rPr>
          <w:i/>
          <w:iCs/>
          <w:color w:val="000000" w:themeColor="text1"/>
          <w:sz w:val="24"/>
          <w:szCs w:val="24"/>
          <w:shd w:fill="auto" w:val="clear"/>
        </w:rPr>
        <w:t>СП «</w:t>
      </w:r>
      <w:r>
        <w:rPr>
          <w:i/>
          <w:iCs/>
          <w:color w:val="000000"/>
          <w:sz w:val="24"/>
          <w:szCs w:val="24"/>
          <w:shd w:fill="auto" w:val="clear"/>
        </w:rPr>
        <w:t>Николаевская ТЭЦ</w:t>
      </w:r>
      <w:r>
        <w:rPr>
          <w:i/>
          <w:iCs/>
          <w:color w:val="000000" w:themeColor="text1"/>
          <w:sz w:val="24"/>
          <w:szCs w:val="24"/>
          <w:shd w:fill="auto" w:val="clear"/>
        </w:rPr>
        <w:t>» - 682469 Хабаровский кр., г. Николаевск-на-Амуре, ул. Невельского, 24А;</w:t>
      </w:r>
    </w:p>
    <w:p>
      <w:pPr>
        <w:pStyle w:val="ListParagraph"/>
        <w:widowControl w:val="false"/>
        <w:numPr>
          <w:ilvl w:val="0"/>
          <w:numId w:val="15"/>
        </w:numPr>
        <w:tabs>
          <w:tab w:val="clear" w:pos="708"/>
          <w:tab w:val="left" w:pos="426" w:leader="none"/>
          <w:tab w:val="left" w:pos="992" w:leader="none"/>
        </w:tabs>
        <w:ind w:firstLine="709" w:left="0" w:right="0"/>
        <w:jc w:val="both"/>
        <w:rPr>
          <w:color w:themeColor="text1"/>
          <w:highlight w:val="none"/>
          <w:shd w:fill="auto" w:val="clear"/>
        </w:rPr>
      </w:pPr>
      <w:r>
        <w:rPr>
          <w:bCs/>
          <w:i/>
          <w:iCs/>
          <w:color w:val="000000" w:themeColor="text1"/>
          <w:sz w:val="24"/>
          <w:szCs w:val="24"/>
          <w:shd w:fill="auto" w:val="clear"/>
        </w:rPr>
        <w:t>СП «Владивостокская ТЭЦ-2» - 690034, Приморский край, г. Владивосток, ул. Фадеева, 47;</w:t>
      </w:r>
    </w:p>
    <w:p>
      <w:pPr>
        <w:pStyle w:val="ListParagraph"/>
        <w:widowControl w:val="false"/>
        <w:numPr>
          <w:ilvl w:val="0"/>
          <w:numId w:val="15"/>
        </w:numPr>
        <w:tabs>
          <w:tab w:val="clear" w:pos="708"/>
          <w:tab w:val="left" w:pos="426" w:leader="none"/>
          <w:tab w:val="left" w:pos="992" w:leader="none"/>
          <w:tab w:val="left" w:pos="1134" w:leader="none"/>
        </w:tabs>
        <w:ind w:firstLine="709" w:left="0" w:right="0"/>
        <w:jc w:val="both"/>
        <w:rPr>
          <w:color w:themeColor="text1"/>
          <w:highlight w:val="none"/>
          <w:shd w:fill="auto" w:val="clear"/>
        </w:rPr>
      </w:pPr>
      <w:r>
        <w:rPr>
          <w:i/>
          <w:iCs/>
          <w:color w:val="000000" w:themeColor="text1"/>
          <w:sz w:val="24"/>
          <w:szCs w:val="24"/>
          <w:shd w:fill="auto" w:val="clear"/>
        </w:rPr>
        <w:t>СП «Комсомольская ТЭЦ-2» - 681000, Хабаровский край, г. Комсомольск-на-Амуре, Аллея Труда, 1/3;</w:t>
      </w:r>
    </w:p>
    <w:p>
      <w:pPr>
        <w:pStyle w:val="ListParagraph"/>
        <w:widowControl w:val="false"/>
        <w:numPr>
          <w:ilvl w:val="0"/>
          <w:numId w:val="15"/>
        </w:numPr>
        <w:tabs>
          <w:tab w:val="clear" w:pos="708"/>
          <w:tab w:val="left" w:pos="426" w:leader="none"/>
          <w:tab w:val="left" w:pos="992" w:leader="none"/>
          <w:tab w:val="left" w:pos="1134" w:leader="none"/>
        </w:tabs>
        <w:ind w:firstLine="709" w:left="0" w:right="0"/>
        <w:jc w:val="both"/>
        <w:rPr>
          <w:color w:themeColor="text1"/>
          <w:highlight w:val="none"/>
          <w:shd w:fill="auto" w:val="clear"/>
        </w:rPr>
      </w:pPr>
      <w:r>
        <w:rPr>
          <w:i/>
          <w:iCs/>
          <w:color w:val="000000" w:themeColor="text1"/>
          <w:sz w:val="24"/>
          <w:szCs w:val="24"/>
          <w:shd w:fill="auto" w:val="clear"/>
        </w:rPr>
        <w:t>СП «Благовещенская ТЭЦ» - 675000 Амурская область, г. Благовещенск, ул. Загородная, 177.</w:t>
      </w:r>
    </w:p>
    <w:p>
      <w:pPr>
        <w:pStyle w:val="Normal"/>
        <w:widowControl w:val="false"/>
        <w:tabs>
          <w:tab w:val="clear" w:pos="708"/>
          <w:tab w:val="left" w:pos="426" w:leader="none"/>
          <w:tab w:val="left" w:pos="992" w:leader="none"/>
        </w:tabs>
        <w:ind w:firstLine="709" w:left="0" w:right="0"/>
        <w:jc w:val="both"/>
        <w:rPr>
          <w:i w:val="false"/>
          <w:i w:val="false"/>
          <w:iCs w:val="false"/>
          <w:color w:val="000000" w:themeColor="text1"/>
          <w:sz w:val="24"/>
          <w:szCs w:val="24"/>
          <w:highlight w:val="none"/>
        </w:rPr>
      </w:pPr>
      <w:r>
        <w:rPr>
          <w:i w:val="false"/>
          <w:iCs w:val="false"/>
          <w:color w:val="000000" w:themeColor="text1"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709"/>
        <w:jc w:val="both"/>
        <w:rPr>
          <w:rFonts w:eastAsia="Calibri"/>
          <w:bCs/>
          <w:i/>
          <w:i/>
          <w:sz w:val="24"/>
          <w:szCs w:val="24"/>
        </w:rPr>
      </w:pPr>
      <w:r>
        <w:rPr>
          <w:rFonts w:eastAsia="Calibri"/>
          <w:i/>
          <w:iCs/>
          <w:sz w:val="24"/>
          <w:szCs w:val="24"/>
        </w:rPr>
        <w:t>Общий перечень объектов для оказания услуг, указан в Таблице 1. «Перечень объектов заказчика»:</w:t>
      </w:r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</w:rPr>
      </w:pPr>
      <w:bookmarkStart w:id="5" w:name="_Toc6"/>
      <w:r>
        <w:rPr>
          <w:sz w:val="24"/>
          <w:szCs w:val="24"/>
        </w:rPr>
        <w:t>Таблица 1. Перечень объектов заказчика</w:t>
      </w:r>
      <w:bookmarkEnd w:id="5"/>
    </w:p>
    <w:p>
      <w:pPr>
        <w:pStyle w:val="Normal"/>
        <w:widowControl w:val="false"/>
        <w:tabs>
          <w:tab w:val="clear" w:pos="708"/>
          <w:tab w:val="left" w:pos="426" w:leader="none"/>
          <w:tab w:val="left" w:pos="992" w:leader="none"/>
        </w:tabs>
        <w:jc w:val="both"/>
        <w:rPr>
          <w:rFonts w:eastAsia="Calibri"/>
          <w:bCs/>
          <w:i/>
          <w:i/>
          <w:sz w:val="24"/>
          <w:szCs w:val="24"/>
        </w:rPr>
      </w:pPr>
      <w:r>
        <w:rPr>
          <w:rFonts w:eastAsia="Calibri"/>
          <w:bCs/>
          <w:i/>
          <w:sz w:val="24"/>
          <w:szCs w:val="24"/>
        </w:rPr>
      </w:r>
    </w:p>
    <w:tbl>
      <w:tblPr>
        <w:tblStyle w:val="919"/>
        <w:tblW w:w="9921" w:type="dxa"/>
        <w:jc w:val="left"/>
        <w:tblInd w:w="2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noHBand="0" w:noVBand="1" w:firstColumn="1" w:lastRow="0" w:lastColumn="0" w:firstRow="1"/>
      </w:tblPr>
      <w:tblGrid>
        <w:gridCol w:w="708"/>
        <w:gridCol w:w="1672"/>
        <w:gridCol w:w="4558"/>
        <w:gridCol w:w="1133"/>
        <w:gridCol w:w="1850"/>
      </w:tblGrid>
      <w:tr>
        <w:trPr>
          <w:tblHeader w:val="true"/>
          <w:trHeight w:val="810" w:hRule="atLeast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4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Наименование СП</w:t>
            </w:r>
          </w:p>
        </w:tc>
        <w:tc>
          <w:tcPr>
            <w:tcW w:w="4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Наименование объекта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Высота, м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Строительный объем, </w:t>
            </w:r>
            <w:r>
              <w:rPr/>
            </w:r>
            <m:oMath xmlns:m="http://schemas.openxmlformats.org/officeDocument/2006/math">
              <m:sSup>
                <m:e>
                  <m:r>
                    <w:rPr>
                      <w:rFonts w:ascii="Cambria Math" w:hAnsi="Cambria Math"/>
                    </w:rPr>
                    <m:t xml:space="preserve">м</m:t>
                  </m:r>
                </m:e>
                <m:sup>
                  <m:r>
                    <w:rPr>
                      <w:rFonts w:ascii="Cambria Math" w:hAnsi="Cambria Math"/>
                    </w:rPr>
                    <m:t xml:space="preserve">3</m:t>
                  </m:r>
                </m:sup>
              </m:sSup>
            </m:oMath>
          </w:p>
        </w:tc>
      </w:tr>
      <w:tr>
        <w:trPr>
          <w:trHeight w:val="410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ВТЭЦ-2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корпус Владивостокской ТЭЦ-2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1134670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ХТС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ПНС-172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4569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ХТС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ПНС-184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16650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ХТС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ПНС-111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4642</w:t>
            </w:r>
          </w:p>
        </w:tc>
      </w:tr>
      <w:tr>
        <w:trPr>
          <w:trHeight w:val="546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ХТС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ПНС-334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10644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РГРЭС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масломазутохозяйства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1058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РГРЭС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электролизной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1193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ХТЭЦ-2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Здания и сооружения блочно-комплектной автоматизированной АГРС Сигнал-5 котельной "Некрасовская"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КТЭЦ-2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мазутонасосной станции (ПП КТЭЦ-1)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732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КТЭЦ-2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турбинного отделения главного корпуса 2 очереди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9355,5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КТЭЦ-2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главного корпуса 1 очереди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30917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КТЭЦ-2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мазутонасосной станции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86,8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ХТЭЦ-2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Эстакада слива мазута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6,5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kern w:val="0"/>
                <w:position w:val="0"/>
                <w:sz w:val="24"/>
                <w:sz w:val="24"/>
                <w:szCs w:val="24"/>
                <w:u w:val="none"/>
                <w:vertAlign w:val="baseline"/>
                <w:lang w:val="ru-RU" w:eastAsia="ru-RU" w:bidi="ar-SA"/>
              </w:rPr>
              <w:t>Протяженность 96 м.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hd w:val="clear" w:color="auto" w:fill="auto"/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ХТЭЦ-2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Сетевая насосная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6730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hd w:val="clear" w:color="auto" w:fill="auto"/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АТЭЦ-1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Корпус мазутного хозяйства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7303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hd w:val="clear" w:color="auto" w:fill="auto"/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АТЭЦ-1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ОВК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117090</w:t>
            </w:r>
          </w:p>
        </w:tc>
      </w:tr>
      <w:tr>
        <w:trPr>
          <w:trHeight w:val="284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НТЭЦ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мазутонасосной БСМ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2800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КТЭЦ-3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главного корпуса (т/о, к/о, бункерное отд., ТДУ)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eastAsia="Noto Serif CJK SC" w:cs="Arial Unicode MS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Noto Serif CJK SC" w:cs="Arial Unicode MS"/>
                <w:kern w:val="0"/>
                <w:sz w:val="24"/>
                <w:szCs w:val="24"/>
                <w:lang w:val="ru-RU" w:eastAsia="ru-RU" w:bidi="ar-SA"/>
              </w:rPr>
              <w:t>726578</w:t>
            </w:r>
          </w:p>
        </w:tc>
      </w:tr>
      <w:tr>
        <w:trPr>
          <w:trHeight w:val="283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КТЭЦ-3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ГРП ВК "Дземги"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36"/>
              <w:jc w:val="center"/>
              <w:rPr>
                <w:rFonts w:ascii="Times New Roman" w:hAnsi="Times New Roman" w:eastAsia="Noto Serif CJK SC" w:cs="Arial Unicode MS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Noto Serif CJK SC" w:cs="Arial Unicode MS"/>
                <w:kern w:val="0"/>
                <w:sz w:val="24"/>
                <w:szCs w:val="24"/>
                <w:lang w:val="ru-RU" w:eastAsia="ru-RU" w:bidi="ar-SA"/>
              </w:rPr>
              <w:t>158,1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КТЭЦ-3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кислородной станции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3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2943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ХТЭЦ-1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аппаратной маслохозяйства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1992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ХТЭЦ-1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главного корпуса в осях А-В/1-74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354684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ХТЭЦ-1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Дымососное отделение здания главного корпуса в осях 1 - 20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35691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ХТЭЦ-1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главного корпуса Б7 (водогрейная котельная)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45513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НГРЭС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насосной 2-го подъема с насосами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564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НГРЭС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Бойлерная Южная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789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НГРЭС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Северная бойлерная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832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НГРЭС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Площадка насосной станции 2-го подъема, здание насосной станции 2-го подъема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16953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НГРЭС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Насосная станция речного водозабора и скв. №1БИС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260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КНС № 2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1797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ЦТП N 1 п Сеp. Бор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194,3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ЦТП N 2 п Сеp. Бор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92,8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ЦТП N 3 п Сеp. Бор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87,1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ЦТП N 5 п Сеp. Бор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641,5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Лабораторно-производственный корпус (ЧТЭЦ)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5553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Насосная станция 2-го подъема Аэропорта ЧТЭЦ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1638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Насосная станция 3-го подъема Аэропорта ЧТЭЦ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810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Насосная станция "Южная" ЧТЭЦ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868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Насосная станция "Северная" ЧТЭЦ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725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Насосная станция 3-го подъема ЧТЭЦ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1088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ТП-6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kern w:val="0"/>
                <w:position w:val="0"/>
                <w:sz w:val="24"/>
                <w:sz w:val="24"/>
                <w:szCs w:val="24"/>
                <w:u w:val="none"/>
                <w:vertAlign w:val="baseline"/>
                <w:lang w:val="ru-RU" w:eastAsia="ru-RU" w:bidi="ar-SA"/>
              </w:rPr>
              <w:t>88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ТП-7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kern w:val="0"/>
                <w:position w:val="0"/>
                <w:sz w:val="24"/>
                <w:sz w:val="24"/>
                <w:szCs w:val="24"/>
                <w:u w:val="none"/>
                <w:vertAlign w:val="baseline"/>
                <w:lang w:val="ru-RU" w:eastAsia="ru-RU" w:bidi="ar-SA"/>
              </w:rPr>
              <w:t>37</w:t>
            </w:r>
          </w:p>
        </w:tc>
      </w:tr>
      <w:tr>
        <w:trPr>
          <w:trHeight w:val="415" w:hRule="atLeast"/>
        </w:trPr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3" w:leader="none"/>
              </w:tabs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6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БлТЭЦ</w:t>
            </w:r>
          </w:p>
        </w:tc>
        <w:tc>
          <w:tcPr>
            <w:tcW w:w="45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объединенного вспомогательного корпуса (ОВК)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3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93960</w:t>
            </w:r>
          </w:p>
        </w:tc>
      </w:tr>
    </w:tbl>
    <w:p>
      <w:pPr>
        <w:pStyle w:val="Heading1"/>
        <w:keepLines/>
        <w:numPr>
          <w:ilvl w:val="0"/>
          <w:numId w:val="3"/>
        </w:numPr>
        <w:tabs>
          <w:tab w:val="clear" w:pos="708"/>
          <w:tab w:val="left" w:pos="992" w:leader="none"/>
        </w:tabs>
        <w:ind w:firstLine="709" w:left="0"/>
        <w:jc w:val="left"/>
        <w:rPr>
          <w:iCs/>
          <w:caps/>
        </w:rPr>
      </w:pPr>
      <w:bookmarkStart w:id="6" w:name="_Toc7"/>
      <w:r>
        <w:rPr>
          <w:iCs/>
        </w:rPr>
        <w:t>Требования к продукции</w:t>
      </w:r>
      <w:bookmarkEnd w:id="6"/>
    </w:p>
    <w:p>
      <w:pPr>
        <w:pStyle w:val="Heading4"/>
        <w:numPr>
          <w:ilvl w:val="1"/>
          <w:numId w:val="3"/>
        </w:numPr>
        <w:tabs>
          <w:tab w:val="clear" w:pos="708"/>
          <w:tab w:val="left" w:pos="992" w:leader="none"/>
          <w:tab w:val="left" w:pos="1134" w:leader="none"/>
        </w:tabs>
        <w:ind w:firstLine="709" w:left="0"/>
        <w:rPr/>
      </w:pPr>
      <w:bookmarkStart w:id="7" w:name="_Toc8"/>
      <w:r>
        <w:rPr/>
        <w:t>Требования к объемам и срокам оказания услуг</w:t>
      </w:r>
      <w:bookmarkEnd w:id="7"/>
    </w:p>
    <w:p>
      <w:pPr>
        <w:pStyle w:val="Heading3"/>
        <w:numPr>
          <w:ilvl w:val="2"/>
          <w:numId w:val="3"/>
        </w:numPr>
        <w:tabs>
          <w:tab w:val="clear" w:pos="708"/>
          <w:tab w:val="left" w:pos="992" w:leader="none"/>
          <w:tab w:val="left" w:pos="1276" w:leader="none"/>
        </w:tabs>
        <w:ind w:firstLine="709" w:left="0"/>
        <w:rPr/>
      </w:pPr>
      <w:bookmarkStart w:id="8" w:name="_Toc9"/>
      <w:r>
        <w:rPr/>
        <w:t>Требования к перечню и объему услуг</w:t>
      </w:r>
      <w:bookmarkEnd w:id="8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</w:rPr>
      </w:pPr>
      <w:bookmarkStart w:id="9" w:name="_Toc10"/>
      <w:r>
        <w:rPr>
          <w:sz w:val="24"/>
          <w:szCs w:val="24"/>
        </w:rPr>
        <w:t>Таблица 2. Перечень и объем оказываемых услуг</w:t>
      </w:r>
      <w:bookmarkEnd w:id="9"/>
    </w:p>
    <w:tbl>
      <w:tblPr>
        <w:tblW w:w="9986" w:type="dxa"/>
        <w:jc w:val="left"/>
        <w:tblInd w:w="4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33"/>
        <w:gridCol w:w="1597"/>
        <w:gridCol w:w="4393"/>
        <w:gridCol w:w="1125"/>
        <w:gridCol w:w="2138"/>
      </w:tblGrid>
      <w:tr>
        <w:trPr>
          <w:tblHeader w:val="true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Наименование СП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услуг / этапа услуг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hd w:val="clear" w:color="auto" w:fill="auto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auto"/>
              <w:jc w:val="center"/>
              <w:rPr>
                <w:i w:val="false"/>
                <w:i w:val="false"/>
                <w:iCs w:val="false"/>
                <w:color w:val="000000"/>
                <w:sz w:val="20"/>
                <w:szCs w:val="20"/>
                <w:highlight w:val="none"/>
              </w:rPr>
            </w:pPr>
            <w:r>
              <w:rPr>
                <w:i w:val="false"/>
                <w:iCs w:val="false"/>
                <w:color w:val="000000"/>
                <w:sz w:val="20"/>
                <w:szCs w:val="20"/>
              </w:rPr>
              <w:t xml:space="preserve">Строительный объем, </w:t>
            </w:r>
            <w:r>
              <w:rPr/>
            </w:r>
            <m:oMath xmlns:m="http://schemas.openxmlformats.org/officeDocument/2006/math">
              <m:sSup>
                <m:e>
                  <m:r>
                    <w:rPr>
                      <w:rFonts w:ascii="Cambria Math" w:hAnsi="Cambria Math"/>
                    </w:rPr>
                    <m:t xml:space="preserve">м</m:t>
                  </m:r>
                </m:e>
                <m:sup>
                  <m:r>
                    <w:rPr>
                      <w:rFonts w:ascii="Cambria Math" w:hAnsi="Cambria Math"/>
                    </w:rPr>
                    <m:t xml:space="preserve">3</m:t>
                  </m:r>
                </m:sup>
              </m:sSup>
            </m:oMath>
            <w:r>
              <w:rPr>
                <w:i w:val="false"/>
                <w:iCs w:val="false"/>
                <w:color w:val="000000"/>
                <w:sz w:val="20"/>
                <w:szCs w:val="20"/>
              </w:rPr>
              <w:t xml:space="preserve"> / Высота, м</w:t>
            </w:r>
          </w:p>
        </w:tc>
      </w:tr>
      <w:tr>
        <w:trPr>
          <w:tblHeader w:val="true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>
        <w:trPr>
          <w:trHeight w:val="569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283" w:leader="none"/>
              </w:tabs>
              <w:ind w:hanging="0" w:left="0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2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shd w:fill="auto" w:val="clear"/>
              </w:rPr>
              <w:t>ОКПД2 71.20.12.000 Оказание услуг по продлению срока безопасной эксплуатации зданий и сооружений для нужд структурных подразделений, расположенных в Хабаровском крае, Приморском крае, Амурской области и Республике Саха (Якутия):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ВТЭЦ-2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корпус Владивостокской ТЭЦ-2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 w:val="false"/>
                <w:bCs w:val="false"/>
                <w:i/>
                <w:i/>
                <w:iCs/>
                <w:sz w:val="20"/>
                <w:szCs w:val="20"/>
                <w:highlight w:val="none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1134670/-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ХТС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ПНС-172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  <w:highlight w:val="none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4569/-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ХТС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ПНС-184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  <w:highlight w:val="none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16650/-</w:t>
            </w:r>
          </w:p>
        </w:tc>
      </w:tr>
      <w:tr>
        <w:trPr>
          <w:trHeight w:val="243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ХТС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ПНС-111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  <w:highlight w:val="none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4642/-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ХТС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ПНС-334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  <w:highlight w:val="none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10644/-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РГРЭС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масломазутохозяйства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  <w:highlight w:val="none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1058/-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РГРЭС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электролизной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  <w:highlight w:val="none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1193/-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ХТЭЦ-2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Здания и сооружения блочно-комплектной автоматизированной АГРС Сигнал-5 котельной "Некрасовская"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  <w:highlight w:val="none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117/-</w:t>
            </w:r>
          </w:p>
        </w:tc>
      </w:tr>
      <w:tr>
        <w:trPr>
          <w:trHeight w:val="279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КТЭЦ-2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мазутонасосной станции (ПП КТЭЦ-1)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  <w:highlight w:val="none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ru-RU" w:eastAsia="ru-RU" w:bidi="ar-SA"/>
              </w:rPr>
              <w:t>732/-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КТЭЦ-2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турбинного отделения главного корпуса 2 очереди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  <w:highlight w:val="none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9355,5/-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КТЭЦ-2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главного корпуса 1 очереди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  <w:highlight w:val="none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 xml:space="preserve">м</m:t>
                </m:r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ru-RU" w:eastAsia="ru-RU" w:bidi="ar-SA"/>
              </w:rPr>
              <w:t>30917/-</w:t>
            </w:r>
          </w:p>
        </w:tc>
      </w:tr>
      <w:tr>
        <w:trPr>
          <w:trHeight w:val="319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КТЭЦ-2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мазутонасосной станции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  <w:highlight w:val="none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86,8/-</w:t>
            </w:r>
          </w:p>
        </w:tc>
      </w:tr>
      <w:tr>
        <w:trPr>
          <w:trHeight w:val="29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ХТЭЦ-2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Эстакада слива мазута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  <w:highlight w:val="none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kern w:val="0"/>
                <w:position w:val="0"/>
                <w:sz w:val="24"/>
                <w:sz w:val="24"/>
                <w:szCs w:val="24"/>
                <w:u w:val="none"/>
                <w:vertAlign w:val="baseline"/>
                <w:lang w:val="ru-RU" w:eastAsia="ru-RU" w:bidi="ar-SA"/>
              </w:rPr>
              <w:t>-/6,5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ХТЭЦ-2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Сетевая насосная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6730/-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АТЭЦ-1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Корпус мазутного хозяйства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7303/-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АТЭЦ-1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ОВК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117090/-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НТЭЦ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мазутонасосной БСМ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2800/-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КТЭЦ-3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главного корпуса (т/о, к/о, бункерное отд., ТДУ)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Times New Roman" w:hAnsi="Times New Roman" w:eastAsia="Noto Serif CJK SC" w:cs="Arial Unicode MS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Noto Serif CJK SC" w:cs="Arial Unicode MS"/>
                <w:kern w:val="0"/>
                <w:sz w:val="24"/>
                <w:szCs w:val="24"/>
                <w:lang w:val="ru-RU" w:eastAsia="ru-RU" w:bidi="ar-SA"/>
              </w:rPr>
              <w:t>726578/-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КТЭЦ-3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ГРП ВК "Дземги"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 w:eastAsia="Noto Serif CJK SC" w:cs="Arial Unicode MS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Noto Serif CJK SC" w:cs="Arial Unicode MS"/>
                <w:kern w:val="0"/>
                <w:sz w:val="24"/>
                <w:szCs w:val="24"/>
                <w:lang w:val="ru-RU" w:eastAsia="ru-RU" w:bidi="ar-SA"/>
              </w:rPr>
              <w:t>158,1/-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КТЭЦ-3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кислородной станции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2943/-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ХТЭЦ-1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аппаратной маслохозяйства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1992/-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ХТЭЦ-1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главного корпуса в осях А-В/1-74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354684/-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ХТЭЦ-1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Дымососное отделение здания главного корпуса в осях 1 - 20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35691/-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ХТЭЦ-1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главного корпуса Б7 (водогрейная котельная)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45513/-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НГРЭС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насосной 2-го подъема с насосами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564/-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НГРЭС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Бойлерная Южная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789/-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НГРЭС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Северная бойлерная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832/-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НГРЭС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Площадка насосной станции 2-го подъема, здание насосной станции 2-го подъема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16953/-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НГРЭС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Насосная станция речного водозабора и скв. №1БИС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260/-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КНС № 2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1797/-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ЦТП N 1 п Сеp. Бор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194,3/-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ЦТП N 2 п Сеp. Бор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92,8/-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ЦТП N 3 п Сеp. Бор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87,1/-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ЦТП N 5 п Сеp. Бор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641,5/-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Лабораторно-производственный корпус (ЧТЭЦ)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5553/-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Насосная станция 2-го подъема Аэропорта ЧТЭЦ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1638/-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Насосная станция 3-го подъема Аэропорта ЧТЭЦ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810/-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Насосная станция "Южная" ЧТЭЦ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868/-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Насосная станция "Северная" ЧТЭЦ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725/-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Насосная станция 3-го подъема ЧТЭЦ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1088/-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ТП-6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auto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kern w:val="0"/>
                <w:position w:val="0"/>
                <w:sz w:val="24"/>
                <w:sz w:val="24"/>
                <w:szCs w:val="24"/>
                <w:u w:val="none"/>
                <w:vertAlign w:val="baseline"/>
                <w:lang w:val="ru-RU" w:eastAsia="ru-RU" w:bidi="ar-SA"/>
              </w:rPr>
              <w:t>88/-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ТП-7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auto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kern w:val="0"/>
                <w:position w:val="0"/>
                <w:sz w:val="24"/>
                <w:sz w:val="24"/>
                <w:szCs w:val="24"/>
                <w:u w:val="none"/>
                <w:vertAlign w:val="baseline"/>
                <w:lang w:val="ru-RU" w:eastAsia="ru-RU" w:bidi="ar-SA"/>
              </w:rPr>
              <w:t>37/-</w:t>
            </w:r>
          </w:p>
        </w:tc>
      </w:tr>
      <w:tr>
        <w:trPr>
          <w:trHeight w:val="276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БлТЭЦ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объединенного вспомогательного корпуса (ОВК)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r>
                      <w:rPr>
                        <w:rFonts w:ascii="Cambria Math" w:hAnsi="Cambria Math"/>
                      </w:rPr>
                      <m:t xml:space="preserve">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3</m:t>
                    </m:r>
                  </m:sup>
                </m:sSup>
              </m:oMath>
            </m:oMathPara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93960/-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/>
      </w:pPr>
      <w:bookmarkStart w:id="10" w:name="_Toc11"/>
      <w:r>
        <w:rPr/>
        <w:t>Требования к срокам оказания услуг</w:t>
      </w:r>
      <w:bookmarkEnd w:id="10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highlight w:val="none"/>
        </w:rPr>
      </w:pPr>
      <w:bookmarkStart w:id="11" w:name="_Toc12"/>
      <w:r>
        <w:rPr>
          <w:sz w:val="24"/>
          <w:szCs w:val="24"/>
        </w:rPr>
        <w:t>Таблица 3. Требования к срокам оказания услуг</w:t>
      </w:r>
      <w:bookmarkEnd w:id="11"/>
    </w:p>
    <w:tbl>
      <w:tblPr>
        <w:tblW w:w="10139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49"/>
        <w:gridCol w:w="2331"/>
        <w:gridCol w:w="1974"/>
        <w:gridCol w:w="1596"/>
        <w:gridCol w:w="3689"/>
      </w:tblGrid>
      <w:tr>
        <w:trPr/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№ </w:t>
            </w:r>
            <w:r>
              <w:rPr>
                <w:rFonts w:cs="Times New Roman"/>
                <w:sz w:val="22"/>
                <w:szCs w:val="22"/>
              </w:rPr>
              <w:t>п/п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Наименование услуг/ этапа услуг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оказания услуг/ этапа услуг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cente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выполнения услуг / этапа услуг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Примечание</w:t>
            </w:r>
          </w:p>
        </w:tc>
      </w:tr>
      <w:tr>
        <w:trPr/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>2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>3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>4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>5</w:t>
            </w:r>
          </w:p>
        </w:tc>
      </w:tr>
      <w:tr>
        <w:trPr>
          <w:trHeight w:val="850" w:hRule="atLeast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bidi w:val="0"/>
              <w:spacing w:before="0" w:after="0"/>
              <w:ind w:hanging="0" w:left="0" w:right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  <w:lang w:eastAsia="ru-RU"/>
              </w:rPr>
              <w:t>ОКПД2 71.20.12.000 Оказание услуг по продлению срока безопасной эксплуатации зданий и сооружений для нужд структурных подразделений, расположенных в Хабаровском крае, Приморском крае, Амурской области и Республике Саха (Якутия)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>С даты подписания договора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>31.12.2027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>Заказчик вправе внести изменения в сроки начала оказания услуг без наложения штрафных санкций, своевременно предупредив Исполнителя в письменной форме, не позднее 1 числа месяца, предшествующего началу оказания услуг.</w:t>
            </w:r>
          </w:p>
          <w:p>
            <w:pPr>
              <w:pStyle w:val="Normal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</w:tr>
    </w:tbl>
    <w:p>
      <w:pPr>
        <w:pStyle w:val="Normal"/>
        <w:numPr>
          <w:ilvl w:val="0"/>
          <w:numId w:val="0"/>
        </w:numPr>
        <w:spacing w:before="240" w:after="60"/>
        <w:ind w:hanging="0" w:left="0"/>
        <w:rPr>
          <w:b/>
          <w:bCs/>
        </w:rPr>
      </w:pPr>
      <w:r>
        <w:rPr>
          <w:b/>
          <w:bCs/>
          <w:sz w:val="24"/>
          <w:szCs w:val="24"/>
        </w:rPr>
        <w:t>Таблица №3.1 График оказания услуг</w:t>
      </w:r>
    </w:p>
    <w:tbl>
      <w:tblPr>
        <w:tblW w:w="10079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7"/>
        <w:gridCol w:w="1354"/>
        <w:gridCol w:w="4709"/>
        <w:gridCol w:w="1640"/>
        <w:gridCol w:w="1809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Наименование СП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  <w:t>Наименование услуг/ этапа услуг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  <w:t>Требования к началу срока оказания услуг/ этапа услуг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  <w:t>Требования к окончанию срока оказания услуг / этапа услуг</w:t>
            </w:r>
          </w:p>
        </w:tc>
      </w:tr>
      <w:tr>
        <w:trPr>
          <w:trHeight w:val="223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sz w:val="20"/>
                <w:szCs w:val="20"/>
                <w:shd w:fill="auto" w:val="clear"/>
              </w:rPr>
              <w:t>5</w:t>
            </w:r>
          </w:p>
        </w:tc>
      </w:tr>
      <w:tr>
        <w:trPr>
          <w:trHeight w:val="33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Normal"/>
              <w:widowControl w:val="false"/>
              <w:jc w:val="center"/>
              <w:rPr>
                <w:b/>
                <w:sz w:val="20"/>
                <w:szCs w:val="20"/>
                <w:highlight w:val="none"/>
              </w:rPr>
            </w:pPr>
            <w:r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9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shd w:fill="auto" w:val="clear"/>
              </w:rPr>
              <w:t>ОКПД2 71.20.12.000 Оказание услуг по продлению срока безопасной эксплуатации зданий и сооружений для нужд структурных подразделений, расположенных в Хабаровском крае, Приморском крае, Амурской области и Республике Саха (Якутия):</w:t>
            </w:r>
          </w:p>
        </w:tc>
      </w:tr>
      <w:tr>
        <w:trPr>
          <w:trHeight w:val="222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ВТЭЦ-2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корпус Владивостокской ТЭЦ-2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01.05.2027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01.09.2027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ХТС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ПНС-172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01.06.2027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30.09.2027</w:t>
            </w:r>
          </w:p>
        </w:tc>
      </w:tr>
      <w:tr>
        <w:trPr>
          <w:trHeight w:val="2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ХТС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ПНС-184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01.06.2027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30.09.2027</w:t>
            </w:r>
          </w:p>
        </w:tc>
      </w:tr>
      <w:tr>
        <w:trPr>
          <w:trHeight w:val="2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ХТС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ПНС-111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01.06.2027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30.09.2027</w:t>
            </w:r>
          </w:p>
        </w:tc>
      </w:tr>
      <w:tr>
        <w:trPr>
          <w:trHeight w:val="2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ХТС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ПНС-334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01.06.2027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30.09.2027</w:t>
            </w:r>
          </w:p>
        </w:tc>
      </w:tr>
      <w:tr>
        <w:trPr>
          <w:trHeight w:val="2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РГРЭС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масломазутохозяйства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01.10.2027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25.12.2027</w:t>
            </w:r>
          </w:p>
        </w:tc>
      </w:tr>
      <w:tr>
        <w:trPr>
          <w:trHeight w:val="2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РГРЭС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электролизной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01.10.2027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25.12.2027</w:t>
            </w:r>
          </w:p>
        </w:tc>
      </w:tr>
      <w:tr>
        <w:trPr>
          <w:trHeight w:val="2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ХТЭЦ-2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Здания и сооружения блочно-комплектной автоматизированной АГРС Сигнал-5 котельной "Некрасовская"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01.07.2027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01.10.2027</w:t>
            </w:r>
          </w:p>
        </w:tc>
      </w:tr>
      <w:tr>
        <w:trPr>
          <w:trHeight w:val="2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КТЭЦ-2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мазутонасосной станции (ПП КТЭЦ-1)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12.07.2027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01.11.2027</w:t>
            </w:r>
          </w:p>
        </w:tc>
      </w:tr>
      <w:tr>
        <w:trPr>
          <w:trHeight w:val="2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КТЭЦ-2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турбинного отделения главного корпуса 2 очереди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15.09.2027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21.10.2027</w:t>
            </w:r>
          </w:p>
        </w:tc>
      </w:tr>
      <w:tr>
        <w:trPr>
          <w:trHeight w:val="2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КТЭЦ-2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главного корпуса 1 очереди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01.07.2027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01.10.2027</w:t>
            </w:r>
          </w:p>
        </w:tc>
      </w:tr>
      <w:tr>
        <w:trPr>
          <w:trHeight w:val="2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КТЭЦ-2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мазутонасосной станции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01.06.2027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01.10.2027</w:t>
            </w:r>
          </w:p>
        </w:tc>
      </w:tr>
      <w:tr>
        <w:trPr>
          <w:trHeight w:val="2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ХТЭЦ-2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Эстакада слива мазута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01.07.2027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01.10.2027</w:t>
            </w:r>
          </w:p>
        </w:tc>
      </w:tr>
      <w:tr>
        <w:trPr>
          <w:trHeight w:val="2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ХТЭЦ-2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Сетевая насосная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01.10.2027</w:t>
            </w:r>
          </w:p>
        </w:tc>
      </w:tr>
      <w:tr>
        <w:trPr>
          <w:trHeight w:val="2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АТЭЦ-1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Корпус мазутного хозяйства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30.09.2027</w:t>
            </w:r>
          </w:p>
        </w:tc>
      </w:tr>
      <w:tr>
        <w:trPr>
          <w:trHeight w:val="2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АТЭЦ-1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ОВК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30.09.2027</w:t>
            </w:r>
          </w:p>
        </w:tc>
      </w:tr>
      <w:tr>
        <w:trPr>
          <w:trHeight w:val="2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НТЭЦ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мазутонасосной БСМ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01.06.2027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01.10.2027</w:t>
            </w:r>
          </w:p>
        </w:tc>
      </w:tr>
      <w:tr>
        <w:trPr>
          <w:trHeight w:val="2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КТЭЦ-3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главного корпуса (т/о, к/о, бункерное отд., ТДУ)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01.09.2027</w:t>
            </w:r>
          </w:p>
        </w:tc>
      </w:tr>
      <w:tr>
        <w:trPr>
          <w:trHeight w:val="2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КТЭЦ-3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ГРП ВК "Дземги"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01.09.2027</w:t>
            </w:r>
          </w:p>
        </w:tc>
      </w:tr>
      <w:tr>
        <w:trPr>
          <w:trHeight w:val="2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КТЭЦ-3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кислородной станции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01.09.2027</w:t>
            </w:r>
          </w:p>
        </w:tc>
      </w:tr>
      <w:tr>
        <w:trPr>
          <w:trHeight w:val="2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ХТЭЦ-1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аппаратной маслохозяйства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01.10.2027</w:t>
            </w:r>
          </w:p>
        </w:tc>
      </w:tr>
      <w:tr>
        <w:trPr>
          <w:trHeight w:val="2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ХТЭЦ-1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главного корпуса в осях А-В/1-74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01.10.2027</w:t>
            </w:r>
          </w:p>
        </w:tc>
      </w:tr>
      <w:tr>
        <w:trPr>
          <w:trHeight w:val="2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25" w:leader="none"/>
              </w:tabs>
              <w:ind w:hanging="0" w:left="0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ХТЭЦ-1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Дымососное отделение здания главного корпуса в осях 1 - 20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01.10.2027</w:t>
            </w:r>
          </w:p>
        </w:tc>
      </w:tr>
      <w:tr>
        <w:trPr>
          <w:trHeight w:val="2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25" w:leader="none"/>
              </w:tabs>
              <w:ind w:hanging="0" w:left="0"/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ХТЭЦ-1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главного корпуса Б7 (водогрейная котельная)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01.10.2027</w:t>
            </w:r>
          </w:p>
        </w:tc>
      </w:tr>
      <w:tr>
        <w:trPr>
          <w:trHeight w:val="2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25" w:leader="none"/>
              </w:tabs>
              <w:ind w:hanging="0" w:left="0"/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НГРЭС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насосной 2-го подъема с насосами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01.05.2027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31.12.2027</w:t>
            </w:r>
          </w:p>
        </w:tc>
      </w:tr>
      <w:tr>
        <w:trPr>
          <w:trHeight w:val="2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25" w:leader="none"/>
              </w:tabs>
              <w:ind w:hanging="0" w:left="0"/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НГРЭС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Бойлерная Южная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01.05.2027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31.12.2027</w:t>
            </w:r>
          </w:p>
        </w:tc>
      </w:tr>
      <w:tr>
        <w:trPr>
          <w:trHeight w:val="2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25" w:leader="none"/>
              </w:tabs>
              <w:ind w:hanging="0" w:left="0"/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НГРЭС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Северная бойлерная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01.05.2027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31.12.2027</w:t>
            </w:r>
          </w:p>
        </w:tc>
      </w:tr>
      <w:tr>
        <w:trPr>
          <w:trHeight w:val="2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25" w:leader="none"/>
              </w:tabs>
              <w:ind w:hanging="0" w:left="0"/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НГРЭС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Площадка насосной станции 2-го подъема, здание насосной станции 2-го подъема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01.05.2027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31.12.2027</w:t>
            </w:r>
          </w:p>
        </w:tc>
      </w:tr>
      <w:tr>
        <w:trPr>
          <w:trHeight w:val="2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25" w:leader="none"/>
              </w:tabs>
              <w:ind w:hanging="0" w:left="0"/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НГРЭС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Насосная станция речного водозабора и скв. №1БИС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01.05.2027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31.12.2027</w:t>
            </w:r>
          </w:p>
        </w:tc>
      </w:tr>
      <w:tr>
        <w:trPr>
          <w:trHeight w:val="2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25" w:leader="none"/>
              </w:tabs>
              <w:ind w:hanging="0" w:left="0"/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КНС № 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01.05.2027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30.11.2027</w:t>
            </w:r>
          </w:p>
        </w:tc>
      </w:tr>
      <w:tr>
        <w:trPr>
          <w:trHeight w:val="27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5" w:leader="none"/>
              </w:tabs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  <w:t>1.31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ЦТП N 1 п Сеp. Бор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01.05.2027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30.11.2027</w:t>
            </w:r>
          </w:p>
        </w:tc>
      </w:tr>
      <w:tr>
        <w:trPr>
          <w:trHeight w:val="27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5" w:leader="none"/>
              </w:tabs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  <w:t>1.32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ЦТП N 2 п Сеp. Бор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01.05.2027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30.11.2027</w:t>
            </w:r>
          </w:p>
        </w:tc>
      </w:tr>
      <w:tr>
        <w:trPr>
          <w:trHeight w:val="48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5" w:leader="none"/>
              </w:tabs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  <w:t>1.33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ЦТП N 3 п Сеp. Бор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01.05.2027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30.11.2027</w:t>
            </w:r>
          </w:p>
        </w:tc>
      </w:tr>
      <w:tr>
        <w:trPr>
          <w:trHeight w:val="27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5" w:leader="none"/>
              </w:tabs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  <w:t>1.34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ЦТП N 5 п Сеp. Бор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01.05.2027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30.11.2027</w:t>
            </w:r>
          </w:p>
        </w:tc>
      </w:tr>
      <w:tr>
        <w:trPr>
          <w:trHeight w:val="27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5" w:leader="none"/>
              </w:tabs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  <w:t>1.35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Лабораторно-производственный корпус (ЧТЭЦ)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01.05.2027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30.11.2027</w:t>
            </w:r>
          </w:p>
        </w:tc>
      </w:tr>
      <w:tr>
        <w:trPr>
          <w:trHeight w:val="27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5" w:leader="none"/>
              </w:tabs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  <w:t>1.36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Насосная станция 2-го подъема Аэропорта ЧТЭЦ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01.05.2027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30.11.2027</w:t>
            </w:r>
          </w:p>
        </w:tc>
      </w:tr>
      <w:tr>
        <w:trPr>
          <w:trHeight w:val="27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5" w:leader="none"/>
              </w:tabs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  <w:t>1.37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Насосная станция 3-го подъема Аэропорта ЧТЭЦ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01.05.2027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30.11.2027</w:t>
            </w:r>
          </w:p>
        </w:tc>
      </w:tr>
      <w:tr>
        <w:trPr>
          <w:trHeight w:val="27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5" w:leader="none"/>
              </w:tabs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  <w:t>1.38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Насосная станция "Южная" ЧТЭЦ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01.05.2027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30.11.2027</w:t>
            </w:r>
          </w:p>
        </w:tc>
      </w:tr>
      <w:tr>
        <w:trPr>
          <w:trHeight w:val="27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5" w:leader="none"/>
              </w:tabs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  <w:t>1.39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Насосная станция "Северная" ЧТЭЦ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01.05.2027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30.11.2027</w:t>
            </w:r>
          </w:p>
        </w:tc>
      </w:tr>
      <w:tr>
        <w:trPr>
          <w:trHeight w:val="27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5" w:leader="none"/>
              </w:tabs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  <w:t>1.40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Насосная станция 3-го подъема ЧТЭЦ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01.05.2027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30.11.2027</w:t>
            </w:r>
          </w:p>
        </w:tc>
      </w:tr>
      <w:tr>
        <w:trPr>
          <w:trHeight w:val="27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5" w:leader="none"/>
              </w:tabs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  <w:t>1.41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ТП-6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01.05.2027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30.11.2027</w:t>
            </w:r>
          </w:p>
        </w:tc>
      </w:tr>
      <w:tr>
        <w:trPr>
          <w:trHeight w:val="27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5" w:leader="none"/>
              </w:tabs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  <w:t>1.42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НГРЭС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ТП-7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01.05.2027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30.11.2027</w:t>
            </w:r>
          </w:p>
        </w:tc>
      </w:tr>
      <w:tr>
        <w:trPr>
          <w:trHeight w:val="27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5" w:leader="none"/>
              </w:tabs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  <w:t>1.43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БлТЭЦ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объединенного вспомогательного корпуса (ОВК)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01.08.2027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01.11.2027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0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12" w:name="_Toc13"/>
      <w:r>
        <w:rPr/>
        <w:t>Требования к качеству продукции</w:t>
      </w:r>
      <w:bookmarkEnd w:id="12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</w:rPr>
      </w:pPr>
      <w:bookmarkStart w:id="13" w:name="_Toc14"/>
      <w:r>
        <w:rPr>
          <w:sz w:val="24"/>
          <w:szCs w:val="24"/>
        </w:rPr>
        <w:t>Таблица 4. Требования к качеству продукции</w:t>
      </w:r>
      <w:bookmarkEnd w:id="13"/>
    </w:p>
    <w:p>
      <w:pPr>
        <w:pStyle w:val="Normal"/>
        <w:rPr>
          <w:rStyle w:val="Style10"/>
          <w:b w:val="false"/>
        </w:rPr>
      </w:pPr>
      <w:r>
        <w:rPr>
          <w:b w:val="false"/>
        </w:rPr>
      </w:r>
    </w:p>
    <w:p>
      <w:pPr>
        <w:pStyle w:val="Normal"/>
        <w:jc w:val="both"/>
        <w:rPr>
          <w:rStyle w:val="Style10"/>
          <w:b w:val="false"/>
          <w:i/>
          <w:i/>
          <w:iCs/>
          <w:sz w:val="24"/>
          <w:szCs w:val="24"/>
          <w:highlight w:val="none"/>
        </w:rPr>
      </w:pPr>
      <w:r>
        <w:rPr>
          <w:b/>
          <w:bCs/>
          <w:sz w:val="24"/>
          <w:szCs w:val="24"/>
        </w:rPr>
        <w:t>Наименование услуг/этапа услуг (Таблицы 2)</w:t>
      </w:r>
      <w:r>
        <w:rPr>
          <w:b/>
          <w:bCs/>
          <w:i/>
          <w:iCs/>
          <w:sz w:val="24"/>
          <w:szCs w:val="24"/>
        </w:rPr>
        <w:t xml:space="preserve">: </w:t>
      </w:r>
      <w:r>
        <w:rPr>
          <w:b/>
          <w:bCs/>
          <w:i/>
          <w:iCs/>
          <w:sz w:val="24"/>
          <w:szCs w:val="24"/>
          <w:shd w:fill="auto" w:val="clear"/>
        </w:rPr>
        <w:t>«</w:t>
      </w:r>
      <w:r>
        <w:rPr>
          <w:rFonts w:eastAsia="Calibri"/>
          <w:i/>
          <w:iCs/>
          <w:sz w:val="24"/>
          <w:szCs w:val="24"/>
          <w:shd w:fill="auto" w:val="clear"/>
        </w:rPr>
        <w:t>ОКПД2 71.20.12.000 Оказание услуг по продлению срока безопасной эксплуатации зданий и сооружений для нужд структурных подразделений, расположенных в Хабаровском крае, Приморском крае, Амурской области и Республике Саха (Якутия)»:</w:t>
      </w:r>
    </w:p>
    <w:tbl>
      <w:tblPr>
        <w:tblStyle w:val="919"/>
        <w:tblW w:w="15308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69"/>
        <w:gridCol w:w="2222"/>
        <w:gridCol w:w="8987"/>
        <w:gridCol w:w="1849"/>
        <w:gridCol w:w="1481"/>
      </w:tblGrid>
      <w:tr>
        <w:trPr/>
        <w:tc>
          <w:tcPr>
            <w:tcW w:w="76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2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89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33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769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22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8987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8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4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7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2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89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8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4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7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kern w:val="0"/>
                <w:lang w:val="ru-RU" w:eastAsia="ru-RU" w:bidi="ar-SA"/>
              </w:rPr>
            </w:pPr>
            <w:r>
              <w:rPr>
                <w:kern w:val="0"/>
                <w:lang w:val="ru-RU" w:eastAsia="ru-RU" w:bidi="ar-SA"/>
              </w:rPr>
            </w:r>
          </w:p>
        </w:tc>
        <w:tc>
          <w:tcPr>
            <w:tcW w:w="1120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  <w:tc>
          <w:tcPr>
            <w:tcW w:w="184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120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  <w:tc>
          <w:tcPr>
            <w:tcW w:w="184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jc w:val="center"/>
              <w:rPr>
                <w:kern w:val="0"/>
                <w:lang w:val="ru-RU" w:eastAsia="ru-RU" w:bidi="ar-SA"/>
              </w:rPr>
            </w:pPr>
            <w:r>
              <w:rPr>
                <w:kern w:val="0"/>
                <w:lang w:val="ru-RU" w:eastAsia="ru-RU" w:bidi="ar-SA"/>
              </w:rPr>
            </w:r>
          </w:p>
        </w:tc>
        <w:tc>
          <w:tcPr>
            <w:tcW w:w="2222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Соблюдение при оказании услуг норм и правил нормативно-технических документов</w:t>
            </w:r>
          </w:p>
        </w:tc>
        <w:tc>
          <w:tcPr>
            <w:tcW w:w="8987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Услуги должны проводиться в соответствии с действующими нормативными документами:</w:t>
            </w:r>
          </w:p>
          <w:p>
            <w:pPr>
              <w:pStyle w:val="Normal"/>
              <w:widowControl w:val="false"/>
              <w:spacing w:before="0" w:after="0"/>
              <w:ind w:hanging="0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- Федеральным законом №116-ФЗ (действующая редакция) «О промышленной безопасности опасных производственных объектов» от 21.07.1997;</w:t>
            </w:r>
          </w:p>
          <w:p>
            <w:pPr>
              <w:pStyle w:val="Normal"/>
              <w:widowControl w:val="false"/>
              <w:spacing w:before="0" w:after="0"/>
              <w:ind w:hanging="0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- Федеральным законом №184-ФЗ (действующая редакция) «О техническом регулировании» от 27.12.2002;</w:t>
            </w:r>
          </w:p>
          <w:p>
            <w:pPr>
              <w:pStyle w:val="Normal"/>
              <w:widowControl w:val="false"/>
              <w:spacing w:before="0" w:after="0"/>
              <w:ind w:hanging="0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lang w:val="ru-RU" w:eastAsia="ru-RU" w:bidi="ar-SA"/>
              </w:rPr>
              <w:t>Федеральный закон от 30.12.2009 №384-ФЗ «Технический регламент о безопасности зданий и сооружений»;</w:t>
            </w:r>
          </w:p>
          <w:p>
            <w:pPr>
              <w:pStyle w:val="Normal"/>
              <w:widowControl w:val="false"/>
              <w:spacing w:before="0" w:after="0"/>
              <w:ind w:hanging="0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- Федеральными нормами и правилами в области промышленной безопасности «Правила промышленной безопасности опасных производственных объектов, на которых используется оборудование, работающее под избыточным давлением» (Утв. Приказом РТН от 15.12.2020 №536);</w:t>
            </w:r>
          </w:p>
          <w:p>
            <w:pPr>
              <w:pStyle w:val="Normal"/>
              <w:widowControl w:val="false"/>
              <w:spacing w:before="0" w:after="0"/>
              <w:ind w:hanging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lang w:val="ru-RU" w:eastAsia="ru-RU" w:bidi="ar-SA"/>
              </w:rPr>
              <w:t>РД 34.20.328-95. Методика обследования дымовых труб тепловых электростанций, (Утв. РАО "ЕЭС России" 16.03.1995);</w:t>
            </w:r>
          </w:p>
          <w:p>
            <w:pPr>
              <w:pStyle w:val="Normal"/>
              <w:widowControl w:val="false"/>
              <w:spacing w:before="0" w:after="0"/>
              <w:ind w:hanging="0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СТО ОАО РАО «ЕЭС России» 173.302.82.27.1.100.003-2008 Здания и сооружения ТЭС. Организация эксплуатации и технического обслуживания. Нормы и требования;</w:t>
            </w:r>
          </w:p>
          <w:p>
            <w:pPr>
              <w:pStyle w:val="Normal"/>
              <w:widowControl w:val="false"/>
              <w:spacing w:before="0" w:after="0"/>
              <w:ind w:hanging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lang w:val="ru-RU" w:eastAsia="ru-RU" w:bidi="ar-SA"/>
              </w:rPr>
              <w:t>СТО 70238424.27.010.011-2008. Здания и сооружения объектов энергетики. Методика оценки технического состояния;</w:t>
            </w:r>
          </w:p>
          <w:p>
            <w:pPr>
              <w:pStyle w:val="Normal"/>
              <w:widowControl w:val="false"/>
              <w:spacing w:before="0" w:after="0"/>
              <w:ind w:hanging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РД 153-34.1-21.530-99 Методические указания по обследованию строительных конструкций производственных зданий и сооружений тепловых электростанций. Часть 2. Металлические конструкции;</w:t>
            </w:r>
          </w:p>
          <w:p>
            <w:pPr>
              <w:pStyle w:val="Normal"/>
              <w:widowControl w:val="false"/>
              <w:spacing w:before="0" w:after="0"/>
              <w:ind w:hanging="0"/>
              <w:jc w:val="both"/>
              <w:rPr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РД 153-34.1-21.326-2001 Методические указания по обследованию строительных конструкций производственных зданий и сооружений тепловых электростанций. Часть 1. Железобетонные и бетонные конструкции;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567" w:leader="none"/>
              </w:tabs>
              <w:spacing w:before="0" w:after="0"/>
              <w:ind w:hanging="0" w:left="0"/>
              <w:contextualSpacing/>
              <w:jc w:val="both"/>
              <w:rPr>
                <w:highlight w:val="none"/>
                <w14:ligatures w14:val="none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Федеральными нормами и правилами </w:t>
            </w:r>
            <w:r>
              <w:rPr>
                <w:kern w:val="0"/>
                <w:lang w:val="ru-RU" w:eastAsia="ru-RU" w:bidi="ar-SA"/>
              </w:rPr>
              <w:t>в области промышленной безопасности «Правила промышленной безопасности складов нефти и нефтепродуктов» (Утв. Приказом РТН от 15.12.2020 №529);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567" w:leader="none"/>
              </w:tabs>
              <w:spacing w:before="0" w:after="0"/>
              <w:ind w:hanging="0" w:left="0"/>
              <w:contextualSpacing/>
              <w:jc w:val="both"/>
              <w:rPr>
                <w:highlight w:val="none"/>
                <w14:ligatures w14:val="none"/>
              </w:rPr>
            </w:pPr>
            <w:r>
              <w:rPr>
                <w:kern w:val="0"/>
                <w:lang w:val="ru-RU" w:eastAsia="ru-RU" w:bidi="ar-SA"/>
              </w:rPr>
              <w:t>Федеральными нормами и правилами в области промышленной безопасности «Правила проведения экспертизы промышленной безопасности» (Утв. Приказом РТН от 20.10.2020 №420);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567" w:leader="none"/>
              </w:tabs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  <w:highlight w:val="none"/>
                <w14:ligatures w14:val="none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Федеральными нормами и правилами в области промышленной безопасности «Основные требования к проведению неразрушающего контроля технических устройств, зданий и сооружений на опасных производственных объектах» (Утв. Приказом РТН от 01.12.2020 №478);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567" w:leader="none"/>
              </w:tabs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  <w:highlight w:val="none"/>
                <w14:ligatures w14:val="none"/>
              </w:rPr>
            </w:pPr>
            <w:r>
              <w:rPr>
                <w:kern w:val="0"/>
                <w:sz w:val="24"/>
                <w:lang w:val="ru-RU" w:eastAsia="ru-RU" w:bidi="ar-SA"/>
              </w:rPr>
              <w:t xml:space="preserve">Методическими указаниями по проведению эксплуатационных испытаний котельных установок для оценки качества ремонта </w:t>
            </w:r>
            <w:r>
              <w:rPr>
                <w:rFonts w:eastAsia="Times New Roman" w:cs="Times New Roman"/>
                <w:color w:val="000000"/>
                <w:kern w:val="0"/>
                <w:sz w:val="24"/>
                <w:lang w:val="ru-RU" w:eastAsia="ru-RU" w:bidi="ar-SA"/>
              </w:rPr>
              <w:t>РД 153-34.1-26.303-98</w:t>
            </w:r>
            <w:r>
              <w:rPr>
                <w:kern w:val="0"/>
                <w:sz w:val="24"/>
                <w:lang w:val="ru-RU" w:eastAsia="ru-RU" w:bidi="ar-SA"/>
              </w:rPr>
              <w:t>;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567" w:leader="none"/>
              </w:tabs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  <w:highlight w:val="none"/>
                <w14:ligatures w14:val="none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Методическими указаниями по составлению и содержанию энергетических характеристик оборудования тепловых электростанций</w:t>
            </w:r>
            <w:r>
              <w:rPr>
                <w:kern w:val="0"/>
                <w:lang w:val="ru-RU" w:eastAsia="ru-RU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>РД 34.09.155-93;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567" w:leader="none"/>
              </w:tabs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  <w:highlight w:val="none"/>
                <w14:ligatures w14:val="none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РД 10-249-98 «Нормы расчета на прочность стационарных котлов и трубопроводов пара и горячей воды» (Утв. </w:t>
            </w:r>
            <w:r>
              <w:rPr>
                <w:iCs/>
                <w:spacing w:val="2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Постановлением Госгортехнадзора России от 25.08.1998 №50)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>;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567" w:leader="none"/>
              </w:tabs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  <w:highlight w:val="none"/>
                <w14:ligatures w14:val="none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ТУ 14-3Р-55-2001 «Трубы стальные бесшовные для паровых котлов и трубопроводов» (Утв. Госстандартом России 21.05.2001);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567" w:leader="none"/>
              </w:tabs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  <w:highlight w:val="none"/>
                <w14:ligatures w14:val="none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СО 153-34.17.464-2003 «Инструкция по продлению срока службы трубопроводов </w:t>
            </w:r>
            <w:r>
              <w:rPr>
                <w:kern w:val="0"/>
                <w:sz w:val="24"/>
                <w:szCs w:val="24"/>
                <w:lang w:val="en-US" w:eastAsia="ru-RU" w:bidi="ar-SA"/>
              </w:rPr>
              <w:t>II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, </w:t>
            </w:r>
            <w:r>
              <w:rPr>
                <w:kern w:val="0"/>
                <w:sz w:val="24"/>
                <w:szCs w:val="24"/>
                <w:lang w:val="en-US" w:eastAsia="ru-RU" w:bidi="ar-SA"/>
              </w:rPr>
              <w:t>III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, </w:t>
            </w:r>
            <w:r>
              <w:rPr>
                <w:kern w:val="0"/>
                <w:sz w:val="24"/>
                <w:szCs w:val="24"/>
                <w:lang w:val="en-US" w:eastAsia="ru-RU" w:bidi="ar-SA"/>
              </w:rPr>
              <w:t>IV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 категорий» (Утв. Приказом Минэнерго РФ от 30.06.2003 №275);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567" w:leader="none"/>
              </w:tabs>
              <w:spacing w:before="0" w:after="0"/>
              <w:ind w:hanging="0" w:left="0"/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lang w:val="ru-RU" w:eastAsia="ru-RU" w:bidi="ar-SA"/>
              </w:rPr>
              <w:t>РД 34.17.302-97 (ОП 501 ЦД-97) Руководящий нормативный документ. Котлы паровые и водогрейные. Трубопроводы пара и горячей воды, сосуды. Сварные соединения. Контроль качества. Ультразвуковой контроль. Основные положения (утв. РАО «ЕЭС России» 12.12.1996);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567" w:leader="none"/>
              </w:tabs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  <w:highlight w:val="none"/>
                <w14:ligatures w14:val="none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РД 13-03-2006 «Методические рекомендации о порядке проведения вихретокового контроля технических устройств и сооружений, применяемых и эксплуатируемых на опасных производственных объектах» (Утв. Приказом РТН от 13.12.06 г. № 1072);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567" w:leader="none"/>
              </w:tabs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  <w:highlight w:val="none"/>
                <w14:ligatures w14:val="none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РД 13-05-2006 «Методические рекомендации о порядке проведения магнитопорошкового контроля технических устройств и сооружений, применяемых и эксплуатируемых на опасных производственных объектах» (Утв. Приказом РТН от 13.12.06 г. № 1072);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567" w:leader="none"/>
              </w:tabs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  <w:highlight w:val="none"/>
                <w14:ligatures w14:val="none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РД 13-06-2006 «Методические рекомендации о порядке проведения капиллярного контроля технических устройств и сооружений, применяемых и эксплуатируемых на опасных производственных объектах» (Утв. Приказом РТН от 13.12.06 г. № 1072);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567" w:leader="none"/>
              </w:tabs>
              <w:spacing w:before="0" w:after="0"/>
              <w:ind w:hanging="0" w:left="0"/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lang w:val="ru-RU" w:eastAsia="ru-RU" w:bidi="ar-SA"/>
              </w:rPr>
              <w:t>РД 03-29-93. «Методические указания по проведению технического освидетельствования паровых и водогрейных котлов, сосудов, работающих под давлением, трубопроводов пара и горячей воды» (Утв. Постановлением Госгортехнадзора России от 23.08.1993 №30);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567" w:leader="none"/>
              </w:tabs>
              <w:spacing w:before="0" w:after="0"/>
              <w:ind w:hanging="0" w:left="0"/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lang w:val="ru-RU" w:eastAsia="ru-RU" w:bidi="ar-SA"/>
              </w:rPr>
              <w:t>СП 13-102-2003. Правила обследования несущих строительных конструкций зданий и сооружений;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567" w:leader="none"/>
              </w:tabs>
              <w:spacing w:before="0" w:after="0"/>
              <w:ind w:hanging="0" w:left="0"/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lang w:val="ru-RU" w:eastAsia="ru-RU" w:bidi="ar-SA"/>
              </w:rPr>
              <w:t>СП 20.13330.2016. Свод правил. Нагрузки и воздействия. Актуализированная редакция СНиП 2.01.07-85*;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567" w:leader="none"/>
              </w:tabs>
              <w:spacing w:before="0" w:after="0"/>
              <w:ind w:hanging="0" w:left="0"/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lang w:val="ru-RU" w:eastAsia="ru-RU" w:bidi="ar-SA"/>
              </w:rPr>
              <w:t>СП 28.13330.2017. Свод правил. Защита строительных конструкций от коррозии. Актуализированная редакция СНиП 2.03.11-85;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567" w:leader="none"/>
              </w:tabs>
              <w:spacing w:before="0" w:after="0"/>
              <w:ind w:hanging="0" w:left="0"/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lang w:val="ru-RU" w:eastAsia="ru-RU" w:bidi="ar-SA"/>
              </w:rPr>
              <w:t>СП 16.13330.2017. Свод правил. Стальные конструкции. Актуализированная редакция СНиП II-23-81*;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567" w:leader="none"/>
              </w:tabs>
              <w:spacing w:before="0" w:after="0"/>
              <w:ind w:hanging="0" w:left="0"/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lang w:val="ru-RU" w:eastAsia="ru-RU" w:bidi="ar-SA"/>
              </w:rPr>
              <w:t>СП 63.13330.2018. Свод правил. Бетонные и железобетонные конструкции. Основные положения. СНиП 52-01-2003;</w:t>
            </w:r>
          </w:p>
          <w:p>
            <w:pPr>
              <w:pStyle w:val="Normal"/>
              <w:widowControl w:val="false"/>
              <w:spacing w:lineRule="atLeast" w:line="288" w:before="0" w:after="0"/>
              <w:ind w:hanging="0" w:left="0" w:right="0"/>
              <w:jc w:val="both"/>
              <w:rPr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lang w:val="ru-RU" w:eastAsia="ru-RU" w:bidi="ar-SA"/>
              </w:rPr>
              <w:t>- РД 22-01-97. Требования к проведению оценки безопасности эксплуатации производственных зданий и сооружений поднадзорных промышленных производств и объектов (обследования строительных конструкций специализированными организациями)» (Утв. АОЗТ "ЦНИИПРОЕКТСТАЛЬКОНСТРУКЦИЯ" 11.12.1997);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567" w:leader="none"/>
              </w:tabs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  <w:highlight w:val="none"/>
                <w14:ligatures w14:val="none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Неразрушающий контроль, разрушающие виды испытаний, а также расчеты на прочность должны быть проведены в соответствии с требованиями действующих в России межгосударственных стандартов (ГОСТ) и национальных стандартов РФ (ГОСТ Р);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283" w:leader="none"/>
              </w:tabs>
              <w:spacing w:lineRule="atLeast" w:line="288" w:before="0" w:after="0"/>
              <w:ind w:hanging="0" w:left="0"/>
              <w:contextualSpacing/>
              <w:jc w:val="both"/>
              <w:rPr>
                <w:rFonts w:eastAsia="Times New Roman"/>
                <w:highlight w:val="none"/>
              </w:rPr>
            </w:pPr>
            <w:r>
              <w:rPr>
                <w:rFonts w:eastAsia="Times New Roman"/>
                <w:kern w:val="0"/>
                <w:shd w:fill="auto" w:val="clear"/>
                <w:lang w:val="ru-RU" w:eastAsia="ru-RU" w:bidi="ar-SA"/>
              </w:rPr>
              <w:t>ГОСТ 24846-2019. Межгосударственный стандарт. Грунты. Методы измерения деформаций оснований зданий и сооружений</w:t>
            </w:r>
            <w:r>
              <w:rPr>
                <w:rFonts w:eastAsia="Times New Roman"/>
                <w:kern w:val="0"/>
                <w:lang w:val="ru-RU" w:eastAsia="ru-RU" w:bidi="ar-SA"/>
              </w:rPr>
              <w:t>;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283" w:leader="none"/>
              </w:tabs>
              <w:spacing w:lineRule="atLeast" w:line="288" w:before="0" w:after="0"/>
              <w:ind w:hanging="0" w:left="0"/>
              <w:contextualSpacing/>
              <w:jc w:val="both"/>
              <w:rPr>
                <w:rFonts w:eastAsia="Times New Roman"/>
                <w:highlight w:val="none"/>
              </w:rPr>
            </w:pPr>
            <w:r>
              <w:rPr>
                <w:rFonts w:eastAsia="Times New Roman"/>
                <w:kern w:val="0"/>
                <w:lang w:val="ru-RU" w:eastAsia="ru-RU" w:bidi="ar-SA"/>
              </w:rPr>
              <w:t>СП 22.13330.2016. Свод правил. Основания зданий и сооружений. Актуализированная редакция;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283" w:leader="none"/>
              </w:tabs>
              <w:spacing w:lineRule="atLeast" w:line="288" w:before="0" w:after="0"/>
              <w:ind w:hanging="0" w:left="0"/>
              <w:contextualSpacing/>
              <w:jc w:val="both"/>
              <w:rPr>
                <w:rFonts w:eastAsia="Times New Roman"/>
                <w:highlight w:val="none"/>
              </w:rPr>
            </w:pPr>
            <w:r>
              <w:rPr>
                <w:rFonts w:eastAsia="Times New Roman"/>
                <w:kern w:val="0"/>
                <w:lang w:val="ru-RU" w:eastAsia="ru-RU" w:bidi="ar-SA"/>
              </w:rPr>
              <w:t>ГОСТ 20276.1-2020. Межгосударственный стандарт. Грунты. Метод испытания штампом;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283" w:leader="none"/>
              </w:tabs>
              <w:spacing w:lineRule="atLeast" w:line="288" w:before="0" w:after="0"/>
              <w:ind w:hanging="0" w:left="0"/>
              <w:contextualSpacing/>
              <w:jc w:val="both"/>
              <w:rPr>
                <w:rFonts w:eastAsia="Times New Roman"/>
                <w:highlight w:val="none"/>
              </w:rPr>
            </w:pPr>
            <w:r>
              <w:rPr>
                <w:rFonts w:eastAsia="Times New Roman"/>
                <w:kern w:val="0"/>
                <w:lang w:val="ru-RU" w:eastAsia="ru-RU" w:bidi="ar-SA"/>
              </w:rPr>
              <w:t>ГОСТ 22690-2015. Межгосударственный стандарт. Бетоны. Определение прочности механическими методами неразрушающего контроля;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283" w:leader="none"/>
              </w:tabs>
              <w:spacing w:lineRule="atLeast" w:line="288" w:before="0" w:after="0"/>
              <w:ind w:hanging="0" w:left="0"/>
              <w:contextualSpacing/>
              <w:jc w:val="both"/>
              <w:rPr>
                <w:rFonts w:eastAsia="Times New Roman"/>
                <w:highlight w:val="none"/>
              </w:rPr>
            </w:pPr>
            <w:r>
              <w:rPr>
                <w:rFonts w:eastAsia="Times New Roman"/>
                <w:kern w:val="0"/>
                <w:lang w:val="ru-RU" w:eastAsia="ru-RU" w:bidi="ar-SA"/>
              </w:rPr>
              <w:t>ГОСТ 17624-2021. Межгосударственный стандарт. Бетоны. Ультразвуковой метод определения прочности;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283" w:leader="none"/>
              </w:tabs>
              <w:spacing w:lineRule="atLeast" w:line="288" w:before="0" w:after="0"/>
              <w:ind w:hanging="0" w:left="0"/>
              <w:contextualSpacing/>
              <w:jc w:val="both"/>
              <w:rPr>
                <w:rFonts w:eastAsia="Times New Roman"/>
                <w:highlight w:val="none"/>
              </w:rPr>
            </w:pPr>
            <w:r>
              <w:rPr>
                <w:rFonts w:eastAsia="Times New Roman"/>
                <w:kern w:val="0"/>
                <w:lang w:val="ru-RU" w:eastAsia="ru-RU" w:bidi="ar-SA"/>
              </w:rPr>
              <w:t>ГОСТ 28570-2019. Межгосударственный стандарт. Бетоны. Методы определения прочности по образцам, отобранным из конструкций;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283" w:leader="none"/>
              </w:tabs>
              <w:spacing w:lineRule="atLeast" w:line="288" w:before="0" w:after="0"/>
              <w:ind w:hanging="0" w:left="0"/>
              <w:contextualSpacing/>
              <w:jc w:val="both"/>
              <w:rPr>
                <w:rFonts w:eastAsia="Times New Roman"/>
                <w:highlight w:val="none"/>
              </w:rPr>
            </w:pPr>
            <w:r>
              <w:rPr>
                <w:rFonts w:eastAsia="Times New Roman"/>
                <w:kern w:val="0"/>
                <w:lang w:val="ru-RU" w:eastAsia="ru-RU" w:bidi="ar-SA"/>
              </w:rPr>
              <w:t>СП 13-102-2003. Правила обследования несущих строительных конструкций зданий и сооружений;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283" w:leader="none"/>
              </w:tabs>
              <w:spacing w:lineRule="atLeast" w:line="288" w:before="0" w:after="0"/>
              <w:ind w:hanging="0" w:left="0"/>
              <w:contextualSpacing/>
              <w:jc w:val="both"/>
              <w:rPr>
                <w:rFonts w:eastAsia="Times New Roman"/>
                <w:highlight w:val="none"/>
              </w:rPr>
            </w:pPr>
            <w:r>
              <w:rPr>
                <w:rFonts w:eastAsia="Times New Roman"/>
                <w:kern w:val="0"/>
                <w:lang w:val="ru-RU" w:eastAsia="ru-RU" w:bidi="ar-SA"/>
              </w:rPr>
              <w:t>ГОСТ 22904-2023. Межгосударственный стандарт. Конструкции железобетонные. Магнитный метод определения толщины защитного слоя бетона и расположения арматуры;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283" w:leader="none"/>
              </w:tabs>
              <w:spacing w:lineRule="atLeast" w:line="288" w:before="0" w:after="0"/>
              <w:ind w:hanging="0" w:left="0"/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lang w:val="ru-RU" w:eastAsia="ru-RU" w:bidi="ar-SA"/>
              </w:rPr>
              <w:t>ГОСТ 22904-2023. Межгосударственный стандарт. Конструкции железобетонные. Магнитный метод определения толщины защитного слоя бетона и расположения арматуры;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283" w:leader="none"/>
              </w:tabs>
              <w:spacing w:lineRule="atLeast" w:line="288" w:before="0" w:after="0"/>
              <w:ind w:hanging="0" w:left="0"/>
              <w:contextualSpacing/>
              <w:jc w:val="both"/>
              <w:rPr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lang w:val="ru-RU" w:eastAsia="ru-RU" w:bidi="ar-SA"/>
              </w:rPr>
              <w:t xml:space="preserve">ГОСТ 31937-2024. Межгосударственный стандарт. Здания и сооружения. Правила обследования и мониторинга технического состояния </w:t>
            </w:r>
            <w:r>
              <w:rPr>
                <w:iCs/>
                <w:kern w:val="0"/>
                <w:sz w:val="24"/>
                <w:szCs w:val="24"/>
                <w:lang w:val="ru-RU" w:eastAsia="ru-RU" w:bidi="ar-SA"/>
              </w:rPr>
              <w:t>и другая нормативная документация, необходимая для производства работ.</w:t>
            </w:r>
          </w:p>
        </w:tc>
        <w:tc>
          <w:tcPr>
            <w:tcW w:w="184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kern w:val="0"/>
                <w:sz w:val="22"/>
                <w:szCs w:val="22"/>
                <w:lang w:val="ru-RU" w:eastAsia="ru-RU" w:bidi="ar-SA"/>
              </w:rPr>
              <w:t>Участник должен предоставить в заявке согласие выполнить работы (оказать услуги), полностью соответствующие настоящим техническим требованиям, по форме Технического предложения, установленной в Документации о закупке.</w:t>
            </w:r>
          </w:p>
        </w:tc>
        <w:tc>
          <w:tcPr>
            <w:tcW w:w="14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</w:rPr>
            </w:pPr>
            <w:r>
              <w:rPr>
                <w:rFonts w:eastAsia="Times New Roman"/>
              </w:rPr>
            </w:r>
          </w:p>
        </w:tc>
      </w:tr>
      <w:tr>
        <w:trPr/>
        <w:tc>
          <w:tcPr>
            <w:tcW w:w="7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kern w:val="0"/>
                <w:lang w:val="ru-RU" w:eastAsia="ru-RU" w:bidi="ar-SA"/>
              </w:rPr>
            </w:pPr>
            <w:r>
              <w:rPr>
                <w:kern w:val="0"/>
                <w:lang w:val="ru-RU" w:eastAsia="ru-RU" w:bidi="ar-SA"/>
              </w:rPr>
            </w:r>
          </w:p>
        </w:tc>
        <w:tc>
          <w:tcPr>
            <w:tcW w:w="11209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184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jc w:val="center"/>
              <w:rPr>
                <w:kern w:val="0"/>
                <w:lang w:val="ru-RU" w:eastAsia="ru-RU" w:bidi="ar-SA"/>
              </w:rPr>
            </w:pPr>
            <w:r>
              <w:rPr>
                <w:kern w:val="0"/>
                <w:lang w:val="ru-RU" w:eastAsia="ru-RU" w:bidi="ar-SA"/>
              </w:rPr>
            </w:r>
          </w:p>
        </w:tc>
        <w:tc>
          <w:tcPr>
            <w:tcW w:w="2222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Непосредственное участие персонала Исполнителя в проведении экспертизы промышленной безопасности</w:t>
            </w:r>
          </w:p>
        </w:tc>
        <w:tc>
          <w:tcPr>
            <w:tcW w:w="8987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При оказании услуг, Исполнитель осуществляет выезды на каждый объект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>, при этом В соответствии с п. 24, 26 ФНП в области промышленной безопасности "Правила проведения экспертизы промышленной безопасности" (с изменениями на 29 января 2025 года) при проведении экспертизы технических устройств в обязательном порядке требуется присутствие эксперта (экспертов) для проведения осмотра каждого технического устройства.</w:t>
            </w:r>
          </w:p>
        </w:tc>
        <w:tc>
          <w:tcPr>
            <w:tcW w:w="1849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themeColor="text1"/>
                <w:highlight w:val="none"/>
                <w:shd w:fill="auto" w:val="clear"/>
              </w:rPr>
            </w:pPr>
            <w:r>
              <w:rPr>
                <w:rFonts w:eastAsia="Calibri"/>
                <w:color w:val="000000" w:themeColor="text1"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Участник должен предоставить в заявке согласие выполнить работы (оказать услуги), полностью соответствующие настоящим техническим требованиям, по форме Технического предложения, установленной в Документации о закупке.</w:t>
            </w:r>
          </w:p>
        </w:tc>
        <w:tc>
          <w:tcPr>
            <w:tcW w:w="14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1120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left"/>
              <w:rPr>
                <w:b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1849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/>
            </w:r>
          </w:p>
        </w:tc>
        <w:tc>
          <w:tcPr>
            <w:tcW w:w="14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jc w:val="center"/>
              <w:rPr>
                <w:kern w:val="0"/>
                <w:lang w:val="ru-RU" w:eastAsia="ru-RU" w:bidi="ar-SA"/>
              </w:rPr>
            </w:pPr>
            <w:r>
              <w:rPr>
                <w:kern w:val="0"/>
                <w:lang w:val="ru-RU" w:eastAsia="ru-RU" w:bidi="ar-SA"/>
              </w:rPr>
            </w:r>
          </w:p>
        </w:tc>
        <w:tc>
          <w:tcPr>
            <w:tcW w:w="222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Организационные технические мероприятия по допуску персонала исполнителя</w:t>
            </w:r>
          </w:p>
        </w:tc>
        <w:tc>
          <w:tcPr>
            <w:tcW w:w="898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  <w:highlight w:val="none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В течение 10 (десяти) рабочих дней с даты заключения договора, предоставить на согласование представителям Заказчика, уполномоченным на оперативное рассмотрение и решение технических и организационных вопросов, связанных с оказанием Услуг, программы технического диагностирования по объектам, указанным в Таблице 1, раздела 1 ТТ.</w:t>
            </w:r>
          </w:p>
        </w:tc>
        <w:tc>
          <w:tcPr>
            <w:tcW w:w="1849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/>
            </w:r>
          </w:p>
        </w:tc>
        <w:tc>
          <w:tcPr>
            <w:tcW w:w="14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</w:rPr>
            </w:pPr>
            <w:r>
              <w:rPr>
                <w:rFonts w:eastAsia="Times New Roman"/>
                <w:b w:val="false"/>
              </w:rPr>
            </w:r>
          </w:p>
        </w:tc>
      </w:tr>
      <w:tr>
        <w:trPr/>
        <w:tc>
          <w:tcPr>
            <w:tcW w:w="7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jc w:val="center"/>
              <w:rPr>
                <w:kern w:val="0"/>
                <w:lang w:val="ru-RU" w:eastAsia="ru-RU" w:bidi="ar-SA"/>
              </w:rPr>
            </w:pPr>
            <w:r>
              <w:rPr>
                <w:kern w:val="0"/>
                <w:lang w:val="ru-RU" w:eastAsia="ru-RU" w:bidi="ar-SA"/>
              </w:rPr>
            </w:r>
          </w:p>
        </w:tc>
        <w:tc>
          <w:tcPr>
            <w:tcW w:w="222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Соблюдение режима охраны объекта</w:t>
            </w:r>
          </w:p>
        </w:tc>
        <w:tc>
          <w:tcPr>
            <w:tcW w:w="898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Не позднее, чем за 10 дней до начала оказания услуг, Исполнитель обязан оформить допуск (списки лиц персонала, перечень оборудования и средств измерений) для оказания услуг на территории объекта.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Оказание услуг проводится в соответствии с требованиями Положения о допуске персонала подрядных организаций к выполнению работ на объектах АО «ДГК».</w:t>
            </w:r>
          </w:p>
        </w:tc>
        <w:tc>
          <w:tcPr>
            <w:tcW w:w="1849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4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</w:rPr>
            </w:pPr>
            <w:r>
              <w:rPr>
                <w:rFonts w:eastAsia="Times New Roman"/>
                <w:b w:val="false"/>
              </w:rPr>
            </w:r>
          </w:p>
        </w:tc>
      </w:tr>
      <w:tr>
        <w:trPr>
          <w:trHeight w:val="90" w:hRule="atLeast"/>
        </w:trPr>
        <w:tc>
          <w:tcPr>
            <w:tcW w:w="7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1.3.3</w:t>
            </w:r>
          </w:p>
        </w:tc>
        <w:tc>
          <w:tcPr>
            <w:tcW w:w="222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Объем оказания услуг</w:t>
            </w:r>
          </w:p>
        </w:tc>
        <w:tc>
          <w:tcPr>
            <w:tcW w:w="898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3.2.1. Подготовительные работы: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Предварительное (визуальное) обследование объекта с целью сбора исходных данных и составления программы обследования: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изучение объекта обследования и технической документации на объект;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технические предложения при ее отсутствии;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 составление и согласование с Заказчиком программы обследования.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При подготовительных работах в обязательном порядке осуществляется выезд на каждый объект.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3.2.2</w:t>
              <w:tab/>
              <w:t>Детальное</w:t>
            </w: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 xml:space="preserve"> инструментальное обследования зданий в соответствии с согласованной программой обследования, в которое должно входить: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Перечень строительных конструкций, подлежащих обследованию: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полы по грунту, фундаменты (по косвенным признакам), включая сваи, ростверки, фундаментные балки;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перекрытия и покрытия (в том числе балки, арки, стропильные и подстропильные фермы, плиты, прогоны) и др.;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лестницы, площадки обслуживания;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подкрановые балки и фермы;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светопрозрачные конструкции (витражи, зенитные и светоаэрационные фонари);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связевые конструкции, элементы жесткости;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стыки и узлы, сопряжения конструкций между собой, способы их соединения и размеры площадок опирания;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иные строительные конструкции и их элементы.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3.2.3. Детальное инструментальное обследования зданий в соответствии с согласованной программой обследования, в которое должно входить: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сбор исходных данных необходимых для проведения обследования в объёме материалов приведенных в п.26 Федеральных норм и правил в области промышленной безопасности «Правила проведения экспертизы промышленной безопасности» (утв. Приказом Ростехнадзора от 20.10.2020 №420, действующая редакция); п.5.1.7 ГОСТ 31937-2024;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ознакомление с объектом обследования, его объёмно-планировочными и конструктивными решениями, материалами инженерно-геологических изысканий и геодезических съёмок;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ознакомление с заключениями специализированных организаций о ранее выполненных обследованиях и с материалами по усилению строительных конструкций;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определение соответствия строительных конструкций зданий и сооружений проектной документации и требованиям нормативных документов, выявление дефектов и повреждений элементов и узлов конструкций зданий и сооружений с составлением ведомостей дефектов и повреждений;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определение пространственного положения строительных конструкций зданий и сооружений, их фактических сечений и состояния соединений;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определение степени влияния гидрологических, аэрологических и атмосферных воздействий;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определение фактической прочности материалов и строительных конструкций зданий и сооружений в сравнении с проектными параметрами;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оценку соответствия площади и весовых характеристик легкосбрасываемых конструкций зданий и сооружений требуемой величине, обеспечивающей взрывоустойчивость объекта (при наличии);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изучение химической агрессивности производственной среды в отношении материалов строительных конструкций зданий и сооружений;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определение степени коррозии арматуры и металлических элементов строительных конструкций;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при обнаружении характерных трещин, перекосов частей здания (сооружения), разломов стен и прочих повреждений (деформаций), свидетельствующих о просадках грунтового основания, (принимается решение о необходимости) дополнительных инженерно-геологических изысканий;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измерение геометрических параметров зданий (сооружений), конструкций, их элементов и узлов (обмерные работы). По результатам измерений должны быть выполнены планы с фактическим расположением конструкций, разрезы зданий, чертежи рабочих сечений несущих конструкций и узлов сопряжений конструкций и их элементов;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уточнение разбивочных осей сооружения, его горизонтальные и вертикальные размеры;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проверка пролетов и шага несущих конструкций;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проверка вертикальности и соосности опорных конструкций, наличие и местоположение стыков, мест изменения сечений;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измеряют прогибы, изгибы, отклонения от вертикали, наклоны, выпучивания, перекосы, смещения и сдвиги;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в железобетонных конструкциях определить признаки коррозии арматуры и закладных деталей, а также состояние защитного слоя;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 определить фактическую систему армирования несущих железобетонных конструкций согласно требованиям п. 5.3.1.10 ГОСТ 31937-2024;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 определить фактическую прочность арматуры несущих железобетонных конструкций по образцам, отобранным из конструкции, или радиационным методом согласно требованиям п. 5.3.1.11, 5.3.1.12 ГОСТ 31937-2024;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 в железо</w:t>
            </w: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бетонных и каменных конструкциях определить наличие трещин и величину их раскрытия;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в металлических конструкциях проверить прямолинейность сжатых стержней, наличие соединительных планок, состояние элементов с резкими изменениями сечений, фактическую длину, катет и качество сварных швов, размещение, количество и диаметр заклепок или болтов, наличие специальной обработки и пригонки кромок и торцов;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в деревянных конструкциях определить наличие искривлений и коробления элементов, разрывов в поперечных сечениях элементов или трещин по их длине, наличие и размеры участков биологического поражения;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инструментальное определение параметров дефектов и повреждений;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выполнение вскрытий строительных конструкций и проходка шурфов для определения конструктивного решения, обмеров, сбора нагрузок и обнаружения скрытых дефектов. Данный вид работ выполняется силами и за счет средств Исполнителя;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инструментальное определение физико-механических характеристик материалов основных несущих конструкций и их элементов;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при обнаружении просадок строительных конструкций опор и фундаментов определить полевыми методами основные параметры механических свойств грунтов, определяющие несущую способность оснований согласно п. 5.3.3 СП 22.13330.2016. Методы определение параметров грунтов должны быть определены в соответствии с разделом 5.3 СП 22.13330.2016, и выполнены согласно ГОСТ 20276 и иной нормативной документацией;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определение эксплуатационных нагрузок и воздействий, воспринимаемых обследуемыми конструкциями с учетом влияния деформаций несущих конструкций и грунтов основания;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 тепловизионное обследование ограждающих конструкций зданий и сооружений на предмет выявления тепловых потерей, установление причин тепловых потерь согласно требованиям п. 5.7 ГОСТ 31937-2024;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 вибрационный контроль параметров колебаний нес</w:t>
            </w: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ущих конструкций зданий и сооружений от воздействия технологического оборудования согласно требованиям п. 5.6.3 ГОСТ 31937-2024 и ;ГОСТ 12.1.012-2004;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определение расчетной схемы здания или сооружения и его отдельных конструкций;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поверочный расчет конструкций по результатам обследования с определением расчетных усилий в несущих конструкциях с учетом ГОСТ 27751—2014 (раздел 13);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анализ причин появления дефектов (повреждений) в конструкциях;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сплошное визуальное обследование конструкций и выявление дефектов и повреждений по внешним признакам с необходимыми замерами и их фиксация;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определение категории технического состояния и фактических значений контролируемых параметров грунтов основания, строительных конструкций, включающее в себя обследование технического состояния здания, инженерных коммуникаций;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выборочное вскрытие узлов сопряжения строительных конструкций, а также отделочных и изоляционных слоев с последующим восстановлением вскрытых участков;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определение соответствия с действующими нормативными требованиями объемно-планировочных решений зданий;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фотосъемка строительных конструкций, узлов их сопряжения, а также участков с имеющимися дефектами и повреждениями по всему объему зданий;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определение осадки фундамента и уровня деформации грунтов основания;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выполнить обмерные чертежи строительных конструкций с указанием отклонений фактических размеров от проектных;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произвести оценку соответствия фактических размеров сечений конструкций и соединений материалам проектной, исполнительной документации (при ее наличии);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3.2.4 Обследование состояния конструкций зданий и сооружений включает: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определение прочности бетона методами разрушающего и неразрушающего контроля согласно требованиями ГОСТ 10180, ГОСТ 18105, ГОСТ 22690, ГОСТ 17624, ГОСТ 28570. Участки испытаний и число зон контроля установить согласно требованиям п. 5.3 ГОСТ 31937-2024 и отразить в программе обследования;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при наличии увлажненных участков и поверхностных высолов на бетоне конструкций определяют размеры этих участков и причину их появления;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установить наличие связевых сеток, анкеровки стен, глубины опирания плит, балок, перемычек и других контролируемых параметров для проведения поверочных расчетов;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определение прочности материалов кладки лабораторными испытаниями образцов (кирпича, камня и т. п.), отобранных из кладки. Прочность полнотелого силикатного кирпича, а также кладочного раствора допускается оценивать с помощью методов неразрушающего контроля по предварительно построенной градуировочной зависимости. Методика построения должна соответствовать требованиям ГОСТ 22690. Места с пластинчатой деструкцией кладочных изделий и с другими повреждениями для проведения испытания непригодны. (требования п. 5.3.2 ГОСТ 31937-2024);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определить марку стали несущих металлических конструкций, вид и объем исследований для идентификации примененной стали определить по результатам анализа имеющейся исполнительной документации в соответствии с требованиями ГОСТ 31937-2024 и определить в программе обследования;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выполнить толщинометрию металлических конструкций в объеме согласно требованиям п. 5.3.3 ГОСТ 31937-2024;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по результатам обследования металлоконструкций составить ведомость основных элементов с указанием размеров поперечных сечений, сталей для использования при выполнении расчетов конструкций;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обследование сталежелезобетонных конструкций выполнить в соответствии с п. 5.3.1 и 5.3.3. ГОСТ 31937-2024;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- обследование деревянных конструкций выполнить в соответствии с требованиями п. 5.3.4 ГОСТ 31937-2024.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3.3. Поверочный расчет строительных конструкций зданий и сооружений с учетом выявленных при обследовании отклонений, дефектов и повреждений, фактических (или прогнозируемых) нагрузок и свойств материалов этих конструкций;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3.4. Оценка остаточной несущей способности и пригодности зданий и сооружений к дальнейшей эксплуатации;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3.5. Составление ведомости дефектов, карт дефектов и повреждений строительных конструкций;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3.6. Определение объемов работ по устранению дефектов и повреждений для составления ПСД на устранение дефектов. Разработка задания для производства капитально-восстановительного ремонта здания;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3.7. Произвести оценку категорий технического состояния несущих конструкций здания, включая грунтовое основание, на основании результатов обследования и поверочных расчетов. (Поверочный расчет: расчет существующей конструкции и фундаментов по действующим нормам проектирования с введением в расчет полученных в результате обследования или по проектной и исполнительной документации: геометрических параметров конструкций, фактической прочности строительных материалов и грунтов основания, действующих нагрузок, уточненной расчетной схемы с учетом имеющихся дефектов и повреждений. Так же выполнить поверочный расчет несущих конструкций сооружений, с учетом сейсмичности района строительства, с учетом дополнительных нагрузок, с учетом дальнейшей безаварийной эксплуатации после проведения модернизации, подготовки и разработки мероприятий по восстановлению, усилению конструкций).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3.8. Определение остаточного срока эксплуатации (до прогнозируемого наступления предельного состояния).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3.9. Анализ результатов контроля и испытаний.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3.10. Прогнозирование технического состояния здания, сооружения на продлеваемый период и выработку решения о возможности и целесообразности продления срока эксплуатации;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3.11. Разработка отчетных документов (отчетов, актов, протоколов, частных и итогового заключений) по результатам выполненных работ;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3.12. Разработка проекта решения о возможности продления срока безопасной эксплуатации с планом мероприятий по обеспечению безопасной эксплуатации здания на продлеваемый период;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3.13. Составление, согласование и утверждение заключений экспертизы промышленной безопасности объекта экспертизы (здания, сооружения).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3.14. Выдача Заказчику Заключения экспертизы промышленной безопасности в установленном порядке с выводами о возможности продления срока безопасной эксплуатации ответственных элементов технических устройств не позднее 3-х месяцев с даты начала оказания услуг и оформленных в соответствии с требованиями действующей нормативно-технической документации.</w:t>
            </w:r>
          </w:p>
        </w:tc>
        <w:tc>
          <w:tcPr>
            <w:tcW w:w="1849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firstLine="337"/>
              <w:jc w:val="center"/>
              <w:rPr>
                <w:rFonts w:eastAsia="Calibri"/>
                <w:sz w:val="24"/>
                <w:szCs w:val="24"/>
                <w:highlight w:val="green"/>
              </w:rPr>
            </w:pPr>
            <w:r>
              <w:rPr/>
            </w:r>
          </w:p>
        </w:tc>
        <w:tc>
          <w:tcPr>
            <w:tcW w:w="14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</w:rPr>
            </w:pPr>
            <w:r>
              <w:rPr>
                <w:rFonts w:eastAsia="Times New Roman"/>
                <w:b w:val="false"/>
              </w:rPr>
            </w:r>
          </w:p>
        </w:tc>
      </w:tr>
      <w:tr>
        <w:trPr/>
        <w:tc>
          <w:tcPr>
            <w:tcW w:w="7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kern w:val="0"/>
                <w:lang w:val="ru-RU" w:eastAsia="ru-RU" w:bidi="ar-SA"/>
              </w:rPr>
            </w:pPr>
            <w:r>
              <w:rPr>
                <w:kern w:val="0"/>
                <w:lang w:val="ru-RU" w:eastAsia="ru-RU" w:bidi="ar-SA"/>
              </w:rPr>
            </w:r>
          </w:p>
        </w:tc>
        <w:tc>
          <w:tcPr>
            <w:tcW w:w="1120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60" w:after="0"/>
              <w:ind w:firstLine="170" w:left="113" w:right="0"/>
              <w:jc w:val="left"/>
              <w:rPr/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184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jc w:val="center"/>
              <w:rPr>
                <w:kern w:val="0"/>
                <w:lang w:val="ru-RU" w:eastAsia="ru-RU" w:bidi="ar-SA"/>
              </w:rPr>
            </w:pPr>
            <w:r>
              <w:rPr>
                <w:kern w:val="0"/>
                <w:lang w:val="ru-RU" w:eastAsia="ru-RU" w:bidi="ar-SA"/>
              </w:rPr>
            </w:r>
          </w:p>
        </w:tc>
        <w:tc>
          <w:tcPr>
            <w:tcW w:w="222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Требования к оборудованию (измерительные средства измерений)</w:t>
            </w:r>
          </w:p>
        </w:tc>
        <w:tc>
          <w:tcPr>
            <w:tcW w:w="898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Наличие оборудования для оказания услуг, требуемых в рамках области аккредитации лаборатории разрушающего контроля и аттестации лаборатории неразрушающего контроля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>.</w:t>
            </w:r>
          </w:p>
        </w:tc>
        <w:tc>
          <w:tcPr>
            <w:tcW w:w="184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000000" w:themeColor="text1"/>
                <w:kern w:val="0"/>
                <w:sz w:val="22"/>
                <w:szCs w:val="22"/>
                <w:lang w:val="ru-RU" w:eastAsia="ru-RU" w:bidi="ar-SA"/>
              </w:rPr>
              <w:t>Участник должен предоставить в заявке согласие выполнить работы (оказать услуги), полностью соответствующие настоящим техническим требованиям, по форме Технического предложения, установленной в Документации о закупке.</w:t>
            </w:r>
          </w:p>
        </w:tc>
        <w:tc>
          <w:tcPr>
            <w:tcW w:w="14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kern w:val="0"/>
                <w:lang w:val="ru-RU" w:eastAsia="ru-RU" w:bidi="ar-SA"/>
              </w:rPr>
            </w:pPr>
            <w:r>
              <w:rPr>
                <w:kern w:val="0"/>
                <w:lang w:val="ru-RU" w:eastAsia="ru-RU" w:bidi="ar-SA"/>
              </w:rPr>
            </w:r>
          </w:p>
        </w:tc>
        <w:tc>
          <w:tcPr>
            <w:tcW w:w="11209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1849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/>
            </w:r>
          </w:p>
        </w:tc>
        <w:tc>
          <w:tcPr>
            <w:tcW w:w="14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jc w:val="center"/>
              <w:rPr>
                <w:kern w:val="0"/>
                <w:lang w:val="ru-RU" w:eastAsia="ru-RU" w:bidi="ar-SA"/>
              </w:rPr>
            </w:pPr>
            <w:r>
              <w:rPr>
                <w:kern w:val="0"/>
                <w:lang w:val="ru-RU" w:eastAsia="ru-RU" w:bidi="ar-SA"/>
              </w:rPr>
            </w:r>
          </w:p>
        </w:tc>
        <w:tc>
          <w:tcPr>
            <w:tcW w:w="222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Безопасность оказания услуг</w:t>
            </w:r>
          </w:p>
        </w:tc>
        <w:tc>
          <w:tcPr>
            <w:tcW w:w="898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bidi w:val="0"/>
              <w:spacing w:before="0" w:after="0"/>
              <w:ind w:firstLine="170" w:left="113" w:right="0"/>
              <w:jc w:val="both"/>
              <w:rPr/>
            </w:pPr>
            <w:r>
              <w:rPr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Работники, привлекаемые к оказанию данных услуг, должны быть обеспечены спецодеждой и средствами индивидуальной защиты.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firstLine="170" w:left="113" w:right="0"/>
              <w:jc w:val="both"/>
              <w:rPr/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При оказании услуг Исполнитель несёт ответственность за соблюдение Правил техники безопасности при эксплуатации при эксплуатации тепломеханического оборудования электростанций и тепловых сетей, утвержденных заместителем министра Министерства топлива и энергетики РФ 02.04.1997 (РД 34.03.201-97), и других требований ОТ, ТБ, ППБ, промышленной безопасности объектов и охраны окружающей среды.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firstLine="170" w:left="113" w:right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Вывод из эксплуатации объектов для проведения обследования осуществляется представителями Заказчика.</w:t>
            </w:r>
          </w:p>
        </w:tc>
        <w:tc>
          <w:tcPr>
            <w:tcW w:w="1849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/>
            </w:r>
          </w:p>
        </w:tc>
        <w:tc>
          <w:tcPr>
            <w:tcW w:w="14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kern w:val="0"/>
                <w:lang w:val="ru-RU" w:eastAsia="ru-RU" w:bidi="ar-SA"/>
              </w:rPr>
            </w:pPr>
            <w:r>
              <w:rPr>
                <w:kern w:val="0"/>
                <w:lang w:val="ru-RU" w:eastAsia="ru-RU" w:bidi="ar-SA"/>
              </w:rPr>
            </w:r>
          </w:p>
        </w:tc>
        <w:tc>
          <w:tcPr>
            <w:tcW w:w="1120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1849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/>
            </w:r>
          </w:p>
        </w:tc>
        <w:tc>
          <w:tcPr>
            <w:tcW w:w="14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kern w:val="0"/>
                <w:lang w:val="ru-RU" w:eastAsia="ru-RU" w:bidi="ar-SA"/>
              </w:rPr>
            </w:pPr>
            <w:r>
              <w:rPr>
                <w:kern w:val="0"/>
                <w:lang w:val="ru-RU" w:eastAsia="ru-RU" w:bidi="ar-SA"/>
              </w:rPr>
            </w:r>
          </w:p>
        </w:tc>
        <w:tc>
          <w:tcPr>
            <w:tcW w:w="1120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1849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/>
            </w:r>
          </w:p>
        </w:tc>
        <w:tc>
          <w:tcPr>
            <w:tcW w:w="14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jc w:val="center"/>
              <w:rPr>
                <w:kern w:val="0"/>
                <w:lang w:val="ru-RU" w:eastAsia="ru-RU" w:bidi="ar-SA"/>
              </w:rPr>
            </w:pPr>
            <w:r>
              <w:rPr>
                <w:kern w:val="0"/>
                <w:lang w:val="ru-RU" w:eastAsia="ru-RU" w:bidi="ar-SA"/>
              </w:rPr>
            </w:r>
          </w:p>
        </w:tc>
        <w:tc>
          <w:tcPr>
            <w:tcW w:w="222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Результат оказания услуг</w:t>
            </w:r>
          </w:p>
        </w:tc>
        <w:tc>
          <w:tcPr>
            <w:tcW w:w="898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3" w:leader="none"/>
              </w:tabs>
              <w:suppressAutoHyphens w:val="true"/>
              <w:bidi w:val="0"/>
              <w:spacing w:before="0" w:after="0"/>
              <w:ind w:firstLine="113" w:left="113" w:right="0"/>
              <w:jc w:val="both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kern w:val="0"/>
                <w:sz w:val="24"/>
                <w:szCs w:val="24"/>
                <w:highlight w:val="white"/>
                <w:lang w:val="ru-RU" w:eastAsia="ru-RU" w:bidi="ar-SA"/>
              </w:rPr>
              <w:t>Результаты проведения экспертизы промышленной безопасности оформляются в виде заключения, которое подписывается руководителем организации, проводившей экспертизу промышленной безопасности, и экспертом или экспертами в области промышленной безопасности, участвовавшими в проведении указанной экспертизы.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3" w:leader="none"/>
              </w:tabs>
              <w:spacing w:before="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3" w:leader="none"/>
              </w:tabs>
              <w:suppressAutoHyphens w:val="true"/>
              <w:bidi w:val="0"/>
              <w:spacing w:before="0" w:after="0"/>
              <w:ind w:firstLine="227" w:left="113" w:right="0"/>
              <w:jc w:val="both"/>
              <w:rPr>
                <w:b/>
                <w:bCs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Заключение экспертизы должно содержать: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83" w:leader="none"/>
              </w:tabs>
              <w:suppressAutoHyphens w:val="true"/>
              <w:bidi w:val="0"/>
              <w:spacing w:before="0" w:after="0"/>
              <w:ind w:firstLine="227" w:left="113" w:right="0"/>
              <w:contextualSpacing/>
              <w:jc w:val="both"/>
              <w:rPr/>
            </w:pPr>
            <w:r>
              <w:rPr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титульный лист с ук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азанием наименования заключения </w:t>
            </w:r>
            <w:r>
              <w:rPr>
                <w:color w:val="000000"/>
                <w:kern w:val="0"/>
                <w:sz w:val="24"/>
                <w:szCs w:val="24"/>
                <w:lang w:val="ru-RU" w:eastAsia="ru-RU" w:bidi="ar-SA"/>
              </w:rPr>
              <w:t>экспертизы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>;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83" w:leader="none"/>
              </w:tabs>
              <w:suppressAutoHyphens w:val="true"/>
              <w:bidi w:val="0"/>
              <w:spacing w:before="0" w:after="0"/>
              <w:ind w:firstLine="227" w:left="113" w:right="0"/>
              <w:contextualSpacing/>
              <w:jc w:val="both"/>
              <w:rPr/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вводную часть, включающую: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83" w:leader="none"/>
              </w:tabs>
              <w:suppressAutoHyphens w:val="true"/>
              <w:bidi w:val="0"/>
              <w:spacing w:before="0" w:after="0"/>
              <w:ind w:firstLine="227" w:left="113" w:right="0"/>
              <w:contextualSpacing/>
              <w:jc w:val="both"/>
              <w:rPr/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положения нормативных правовых актов в области </w:t>
            </w:r>
            <w:r>
              <w:rPr>
                <w:color w:val="000000"/>
                <w:kern w:val="0"/>
                <w:sz w:val="24"/>
                <w:szCs w:val="24"/>
                <w:lang w:val="ru-RU" w:eastAsia="ru-RU" w:bidi="ar-SA"/>
              </w:rPr>
              <w:t>промышленной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color w:val="000000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 (пункт, подпункт, часть, статья), устанавливающих требования к объекту </w:t>
            </w:r>
            <w:r>
              <w:rPr>
                <w:color w:val="000000"/>
                <w:kern w:val="0"/>
                <w:sz w:val="24"/>
                <w:szCs w:val="24"/>
                <w:lang w:val="ru-RU" w:eastAsia="ru-RU" w:bidi="ar-SA"/>
              </w:rPr>
              <w:t>экспертизы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, и на соответствие, которым проводится оценка соответствия объекта </w:t>
            </w:r>
            <w:r>
              <w:rPr>
                <w:color w:val="000000"/>
                <w:kern w:val="0"/>
                <w:sz w:val="24"/>
                <w:szCs w:val="24"/>
                <w:lang w:val="ru-RU" w:eastAsia="ru-RU" w:bidi="ar-SA"/>
              </w:rPr>
              <w:t>экспертизы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>;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83" w:leader="none"/>
              </w:tabs>
              <w:suppressAutoHyphens w:val="true"/>
              <w:bidi w:val="0"/>
              <w:spacing w:before="0" w:after="0"/>
              <w:ind w:firstLine="227" w:left="113" w:right="0"/>
              <w:contextualSpacing/>
              <w:jc w:val="both"/>
              <w:rPr/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сведения об экспертной организации (наименование организации, организационно-правовая форма организации, адрес места нахождения, номер телефона, факса, дата выдачи и номер лицензии на деятельность по проведению </w:t>
            </w:r>
            <w:r>
              <w:rPr>
                <w:color w:val="000000"/>
                <w:kern w:val="0"/>
                <w:sz w:val="24"/>
                <w:szCs w:val="24"/>
                <w:lang w:val="ru-RU" w:eastAsia="ru-RU" w:bidi="ar-SA"/>
              </w:rPr>
              <w:t>экспертизы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color w:val="000000"/>
                <w:kern w:val="0"/>
                <w:sz w:val="24"/>
                <w:szCs w:val="24"/>
                <w:lang w:val="ru-RU" w:eastAsia="ru-RU" w:bidi="ar-SA"/>
              </w:rPr>
              <w:t>промышленной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color w:val="000000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>);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83" w:leader="none"/>
              </w:tabs>
              <w:suppressAutoHyphens w:val="true"/>
              <w:bidi w:val="0"/>
              <w:spacing w:before="0" w:after="0"/>
              <w:ind w:firstLine="227" w:left="113" w:right="0"/>
              <w:contextualSpacing/>
              <w:jc w:val="both"/>
              <w:rPr/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сведения об экспертах, принимавших участие в проведении </w:t>
            </w:r>
            <w:r>
              <w:rPr>
                <w:color w:val="000000"/>
                <w:kern w:val="0"/>
                <w:sz w:val="24"/>
                <w:szCs w:val="24"/>
                <w:lang w:val="ru-RU" w:eastAsia="ru-RU" w:bidi="ar-SA"/>
              </w:rPr>
              <w:t>экспертизы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 (фамилия, имя, отчество, регистрационный номер квалификационного удостоверения эксперта).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83" w:leader="none"/>
              </w:tabs>
              <w:suppressAutoHyphens w:val="true"/>
              <w:bidi w:val="0"/>
              <w:spacing w:before="0" w:after="0"/>
              <w:ind w:firstLine="227" w:left="113" w:right="0"/>
              <w:contextualSpacing/>
              <w:jc w:val="both"/>
              <w:rPr/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перечень объектов </w:t>
            </w:r>
            <w:r>
              <w:rPr>
                <w:color w:val="000000"/>
                <w:kern w:val="0"/>
                <w:sz w:val="24"/>
                <w:szCs w:val="24"/>
                <w:lang w:val="ru-RU" w:eastAsia="ru-RU" w:bidi="ar-SA"/>
              </w:rPr>
              <w:t>экспертизы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, на которые распространяется действие заключения </w:t>
            </w:r>
            <w:r>
              <w:rPr>
                <w:color w:val="000000"/>
                <w:kern w:val="0"/>
                <w:sz w:val="24"/>
                <w:szCs w:val="24"/>
                <w:lang w:val="ru-RU" w:eastAsia="ru-RU" w:bidi="ar-SA"/>
              </w:rPr>
              <w:t>экспертизы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>;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83" w:leader="none"/>
              </w:tabs>
              <w:suppressAutoHyphens w:val="true"/>
              <w:bidi w:val="0"/>
              <w:spacing w:before="0" w:after="0"/>
              <w:ind w:firstLine="227" w:left="113" w:right="0"/>
              <w:contextualSpacing/>
              <w:jc w:val="both"/>
              <w:rPr/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данные о заказчике (наименование организации, организационно-правовая форма организации, адрес местонахождения);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83" w:leader="none"/>
              </w:tabs>
              <w:suppressAutoHyphens w:val="true"/>
              <w:bidi w:val="0"/>
              <w:spacing w:before="0" w:after="0"/>
              <w:ind w:firstLine="227" w:left="113" w:right="0"/>
              <w:contextualSpacing/>
              <w:jc w:val="both"/>
              <w:rPr/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цель </w:t>
            </w:r>
            <w:r>
              <w:rPr>
                <w:color w:val="000000"/>
                <w:kern w:val="0"/>
                <w:sz w:val="24"/>
                <w:szCs w:val="24"/>
                <w:lang w:val="ru-RU" w:eastAsia="ru-RU" w:bidi="ar-SA"/>
              </w:rPr>
              <w:t>экспертизы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>;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83" w:leader="none"/>
              </w:tabs>
              <w:suppressAutoHyphens w:val="true"/>
              <w:bidi w:val="0"/>
              <w:spacing w:before="0" w:after="0"/>
              <w:ind w:firstLine="227" w:left="113" w:right="0"/>
              <w:contextualSpacing/>
              <w:jc w:val="both"/>
              <w:rPr/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сведения о рассмотренных в процессе </w:t>
            </w:r>
            <w:r>
              <w:rPr>
                <w:color w:val="000000"/>
                <w:kern w:val="0"/>
                <w:sz w:val="24"/>
                <w:szCs w:val="24"/>
                <w:lang w:val="ru-RU" w:eastAsia="ru-RU" w:bidi="ar-SA"/>
              </w:rPr>
              <w:t>экспертизы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 документах с указанием объёма материалов, имеющих шифр, номер, марку или другую индикацию, необходимую для идентификации;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83" w:leader="none"/>
              </w:tabs>
              <w:suppressAutoHyphens w:val="true"/>
              <w:bidi w:val="0"/>
              <w:spacing w:before="0" w:after="0"/>
              <w:ind w:firstLine="227" w:left="113" w:right="0"/>
              <w:contextualSpacing/>
              <w:jc w:val="both"/>
              <w:rPr/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краткую характеристику и назначение объекта </w:t>
            </w:r>
            <w:r>
              <w:rPr>
                <w:color w:val="000000"/>
                <w:kern w:val="0"/>
                <w:sz w:val="24"/>
                <w:szCs w:val="24"/>
                <w:lang w:val="ru-RU" w:eastAsia="ru-RU" w:bidi="ar-SA"/>
              </w:rPr>
              <w:t>экспертизы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>;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83" w:leader="none"/>
              </w:tabs>
              <w:suppressAutoHyphens w:val="true"/>
              <w:bidi w:val="0"/>
              <w:spacing w:before="0" w:after="0"/>
              <w:ind w:firstLine="227" w:left="113" w:right="0"/>
              <w:contextualSpacing/>
              <w:jc w:val="both"/>
              <w:rPr/>
            </w:pPr>
            <w:r>
              <w:rPr>
                <w:color w:val="000000"/>
                <w:kern w:val="0"/>
                <w:sz w:val="24"/>
                <w:szCs w:val="24"/>
                <w:lang w:val="ru-RU" w:eastAsia="ru-RU" w:bidi="ar-SA"/>
              </w:rPr>
              <w:t>результаты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 проведенной </w:t>
            </w:r>
            <w:r>
              <w:rPr>
                <w:color w:val="000000"/>
                <w:kern w:val="0"/>
                <w:sz w:val="24"/>
                <w:szCs w:val="24"/>
                <w:lang w:val="ru-RU" w:eastAsia="ru-RU" w:bidi="ar-SA"/>
              </w:rPr>
              <w:t>экспертизы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 со ссылками на положения нормативных правовых актов в области </w:t>
            </w:r>
            <w:r>
              <w:rPr>
                <w:color w:val="000000"/>
                <w:kern w:val="0"/>
                <w:sz w:val="24"/>
                <w:szCs w:val="24"/>
                <w:lang w:val="ru-RU" w:eastAsia="ru-RU" w:bidi="ar-SA"/>
              </w:rPr>
              <w:t>промышленной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color w:val="000000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, на соответствие которым проводилась оценка соответствия объекта </w:t>
            </w:r>
            <w:r>
              <w:rPr>
                <w:color w:val="000000"/>
                <w:kern w:val="0"/>
                <w:sz w:val="24"/>
                <w:szCs w:val="24"/>
                <w:lang w:val="ru-RU" w:eastAsia="ru-RU" w:bidi="ar-SA"/>
              </w:rPr>
              <w:t>экспертизы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 требованиям </w:t>
            </w:r>
            <w:r>
              <w:rPr>
                <w:color w:val="000000"/>
                <w:kern w:val="0"/>
                <w:sz w:val="24"/>
                <w:szCs w:val="24"/>
                <w:lang w:val="ru-RU" w:eastAsia="ru-RU" w:bidi="ar-SA"/>
              </w:rPr>
              <w:t>промышленной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color w:val="000000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>;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83" w:leader="none"/>
              </w:tabs>
              <w:suppressAutoHyphens w:val="true"/>
              <w:bidi w:val="0"/>
              <w:spacing w:before="0" w:after="0"/>
              <w:ind w:firstLine="227" w:left="113" w:right="0"/>
              <w:contextualSpacing/>
              <w:jc w:val="both"/>
              <w:rPr/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выводы заключения экспертизы;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83" w:leader="none"/>
              </w:tabs>
              <w:suppressAutoHyphens w:val="true"/>
              <w:bidi w:val="0"/>
              <w:spacing w:before="0" w:after="0"/>
              <w:ind w:firstLine="227" w:left="113" w:right="0"/>
              <w:contextualSpacing/>
              <w:jc w:val="both"/>
              <w:rPr/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материалы, обосновывающие выводы заключения экспертизы промышленной безопасности.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3" w:leader="none"/>
              </w:tabs>
              <w:suppressAutoHyphens w:val="true"/>
              <w:bidi w:val="0"/>
              <w:spacing w:before="0" w:after="0"/>
              <w:ind w:firstLine="227" w:left="113" w:right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В приложении приводятся результаты проведённого комплексного обследования, акт выполненных работ, который подписывается лицами, выполнявшими работы, и руководителем проводившей их организации или руководителем организации, проводящей экспертизу и прикладывается к заключению экспертизы.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283" w:leader="none"/>
              </w:tabs>
              <w:suppressAutoHyphens w:val="true"/>
              <w:bidi w:val="0"/>
              <w:spacing w:before="0" w:after="0"/>
              <w:ind w:firstLine="227" w:left="113" w:right="0"/>
              <w:jc w:val="both"/>
              <w:rPr/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Информация, содержащая сведения по итогам технического диагностирования, должна в кратком виде входить в Заключение экспертизы промышленной безопасности.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3" w:leader="none"/>
              </w:tabs>
              <w:suppressAutoHyphens w:val="true"/>
              <w:bidi w:val="0"/>
              <w:spacing w:before="0" w:after="0"/>
              <w:ind w:firstLine="227" w:left="113" w:right="0"/>
              <w:jc w:val="both"/>
              <w:rPr/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По результатам экспертизы объекта в заключении экспертизы дополнительно приводятся расчетные и аналитические процедуры оценки и прогнозирования технического состояния объекта экспертизы, включающие определение остаточного ресурса (срока службы) с отражением в выводах заключения экспертизы установленного срока дальнейшей безопасной эксплуатации объекта экспертизы, с указанием условий дальнейшей безопасной эксплуатации, а также результаты поверочных расчетов, выполненных с помощью </w:t>
            </w:r>
            <w:bookmarkStart w:id="14" w:name="undefined"/>
            <w:r>
              <w:rPr>
                <w:kern w:val="0"/>
                <w:sz w:val="24"/>
                <w:szCs w:val="24"/>
                <w:lang w:val="ru-RU" w:eastAsia="ru-RU" w:bidi="ar-SA"/>
              </w:rPr>
              <w:t>лицензированного программного обеспечения.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3" w:leader="none"/>
              </w:tabs>
              <w:suppressAutoHyphens w:val="true"/>
              <w:bidi w:val="0"/>
              <w:spacing w:before="0" w:after="0"/>
              <w:ind w:firstLine="227" w:left="113" w:right="0"/>
              <w:jc w:val="both"/>
              <w:rPr/>
            </w:pPr>
            <w:r>
              <w:rPr>
                <w:b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Заключение экспертизы содержит один из следующих выводов о соответствии объекта экспертизы требованиям промышленной безопасности:</w:t>
            </w:r>
            <w:bookmarkEnd w:id="14"/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283" w:leader="none"/>
              </w:tabs>
              <w:suppressAutoHyphens w:val="true"/>
              <w:bidi w:val="0"/>
              <w:spacing w:before="0" w:after="0"/>
              <w:ind w:firstLine="227" w:left="113" w:right="0"/>
              <w:contextualSpacing/>
              <w:jc w:val="both"/>
              <w:rPr/>
            </w:pPr>
            <w:r>
              <w:rPr>
                <w:kern w:val="0"/>
                <w:lang w:val="ru-RU" w:eastAsia="ru-RU" w:bidi="ar-SA"/>
              </w:rPr>
              <w:t>объект экспертизы соответствует требованиям промышленной безопасности;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283" w:leader="none"/>
              </w:tabs>
              <w:suppressAutoHyphens w:val="true"/>
              <w:bidi w:val="0"/>
              <w:spacing w:before="0" w:after="0"/>
              <w:ind w:firstLine="227" w:left="113" w:right="0"/>
              <w:contextualSpacing/>
              <w:jc w:val="both"/>
              <w:rPr/>
            </w:pPr>
            <w:bookmarkStart w:id="15" w:name="P00A0"/>
            <w:bookmarkStart w:id="16" w:name="P009E"/>
            <w:bookmarkEnd w:id="15"/>
            <w:bookmarkEnd w:id="16"/>
            <w:r>
              <w:rPr>
                <w:kern w:val="0"/>
                <w:lang w:val="ru-RU" w:eastAsia="ru-RU" w:bidi="ar-SA"/>
              </w:rPr>
              <w:t>объект экспертизы не соответствует требованиям промышленной безопасности.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firstLine="227" w:left="113" w:right="0"/>
              <w:jc w:val="both"/>
              <w:rPr/>
            </w:pPr>
            <w:r>
              <w:rPr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По результатам оказанных услуг Исполнитель должен представить Заключения экспертизы промышленной безопасности с выводами о возможности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 продления срока безопасной эксплуатации зданий и сооружений, и корректирующими мероприятиями по обеспечению безопасной эксплуатации на продлеваемый период.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3" w:leader="none"/>
              </w:tabs>
              <w:spacing w:before="0" w:after="0"/>
              <w:ind w:hanging="0" w:left="20"/>
              <w:contextualSpacing/>
              <w:jc w:val="both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tLeast" w:line="288" w:before="0" w:after="0"/>
              <w:ind w:firstLine="227" w:left="113" w:right="0"/>
              <w:jc w:val="both"/>
              <w:rPr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lang w:val="ru-RU" w:eastAsia="ru-RU" w:bidi="ar-SA"/>
              </w:rPr>
              <w:t>Срок проведения экспертизы определяется сложностью объекта экспертизы, но не должен превышать трех месяцев со дня получения экспертной организацией от заказчика экспертизы комплекта необходимых материалов и документов. Срок проведения экспертизы может быть продлен по соглашению сторон.</w:t>
            </w:r>
          </w:p>
        </w:tc>
        <w:tc>
          <w:tcPr>
            <w:tcW w:w="1849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/>
            </w:r>
          </w:p>
        </w:tc>
        <w:tc>
          <w:tcPr>
            <w:tcW w:w="14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</w:rPr>
            </w:pPr>
            <w:r>
              <w:rPr>
                <w:rFonts w:eastAsia="Times New Roman"/>
                <w:b w:val="false"/>
              </w:rPr>
            </w:r>
          </w:p>
        </w:tc>
      </w:tr>
      <w:tr>
        <w:trPr/>
        <w:tc>
          <w:tcPr>
            <w:tcW w:w="7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kern w:val="0"/>
                <w:lang w:val="ru-RU" w:eastAsia="ru-RU" w:bidi="ar-SA"/>
              </w:rPr>
            </w:pPr>
            <w:r>
              <w:rPr>
                <w:kern w:val="0"/>
                <w:lang w:val="ru-RU" w:eastAsia="ru-RU" w:bidi="ar-SA"/>
              </w:rPr>
            </w:r>
          </w:p>
        </w:tc>
        <w:tc>
          <w:tcPr>
            <w:tcW w:w="1120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184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jc w:val="center"/>
              <w:rPr>
                <w:kern w:val="0"/>
                <w:lang w:val="ru-RU" w:eastAsia="ru-RU" w:bidi="ar-SA"/>
              </w:rPr>
            </w:pPr>
            <w:r>
              <w:rPr>
                <w:kern w:val="0"/>
                <w:lang w:val="ru-RU" w:eastAsia="ru-RU" w:bidi="ar-SA"/>
              </w:rPr>
            </w:r>
          </w:p>
        </w:tc>
        <w:tc>
          <w:tcPr>
            <w:tcW w:w="222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left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Оказание услуг по экспертизе промышленной безопасности</w:t>
            </w:r>
          </w:p>
        </w:tc>
        <w:tc>
          <w:tcPr>
            <w:tcW w:w="898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3" w:leader="none"/>
              </w:tabs>
              <w:suppressAutoHyphens w:val="true"/>
              <w:bidi w:val="0"/>
              <w:spacing w:before="0" w:after="0"/>
              <w:ind w:firstLine="170" w:left="113" w:right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При оказании услуг по экспертизе промышленной безопасности ЗиС Исполнитель предоставляет на согласование Заказчику следующую документацию: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3" w:leader="none"/>
              </w:tabs>
              <w:suppressAutoHyphens w:val="true"/>
              <w:bidi w:val="0"/>
              <w:spacing w:before="0" w:after="0"/>
              <w:ind w:firstLine="170" w:left="113" w:right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 мероприятия и сроки их выполнения по устранению замечаний, выявленных в ходе проведения экспертизы объекта;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3" w:leader="none"/>
              </w:tabs>
              <w:suppressAutoHyphens w:val="true"/>
              <w:bidi w:val="0"/>
              <w:spacing w:before="0" w:after="0"/>
              <w:ind w:firstLine="170" w:left="113" w:right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 проект заключения экспертизы промышленной безопасности с продлением срока безопасной эксплуатации по результатам технического диагностирования.</w:t>
            </w:r>
          </w:p>
        </w:tc>
        <w:tc>
          <w:tcPr>
            <w:tcW w:w="184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kern w:val="0"/>
                <w:sz w:val="22"/>
                <w:szCs w:val="22"/>
                <w:lang w:val="ru-RU" w:eastAsia="ru-RU" w:bidi="ar-SA"/>
              </w:rPr>
              <w:t>Участник должен предоставить в заявке согласие выполнить работы (оказать услуги), полностью соответствующие настоящим техническим требованиям, по форме Технического предложения, установленной в Документации о закупке.</w:t>
            </w:r>
          </w:p>
        </w:tc>
        <w:tc>
          <w:tcPr>
            <w:tcW w:w="14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kern w:val="0"/>
                <w:lang w:val="ru-RU" w:eastAsia="ru-RU" w:bidi="ar-SA"/>
              </w:rPr>
            </w:pPr>
            <w:r>
              <w:rPr>
                <w:kern w:val="0"/>
                <w:lang w:val="ru-RU" w:eastAsia="ru-RU" w:bidi="ar-SA"/>
              </w:rPr>
            </w:r>
          </w:p>
        </w:tc>
        <w:tc>
          <w:tcPr>
            <w:tcW w:w="1120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1849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/>
            </w:r>
          </w:p>
        </w:tc>
        <w:tc>
          <w:tcPr>
            <w:tcW w:w="14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jc w:val="center"/>
              <w:rPr>
                <w:kern w:val="0"/>
                <w:lang w:val="ru-RU" w:eastAsia="ru-RU" w:bidi="ar-SA"/>
              </w:rPr>
            </w:pPr>
            <w:r>
              <w:rPr>
                <w:kern w:val="0"/>
                <w:lang w:val="ru-RU" w:eastAsia="ru-RU" w:bidi="ar-SA"/>
              </w:rPr>
            </w:r>
          </w:p>
        </w:tc>
        <w:tc>
          <w:tcPr>
            <w:tcW w:w="222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Требования к оформлению Заключения экспертизы промышленной безопасности</w:t>
            </w:r>
          </w:p>
        </w:tc>
        <w:tc>
          <w:tcPr>
            <w:tcW w:w="898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bidi w:val="0"/>
              <w:spacing w:lineRule="auto" w:line="276" w:before="0" w:after="0"/>
              <w:ind w:firstLine="227" w:left="113" w:right="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rFonts w:cs="Times New Roman"/>
                <w:color w:val="auto"/>
                <w:kern w:val="0"/>
                <w:lang w:val="ru-RU" w:eastAsia="ru-RU" w:bidi="ar-SA"/>
              </w:rPr>
              <w:t>З</w:t>
            </w:r>
            <w:r>
              <w:rPr>
                <w:rFonts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аключение ЭПБ, предоставляется в письменной форме (на бумажном носителе), которое подписывается руководителем организации, проводившей экспертизу, и экспертом (экспертами), участвовавшим (участвовавшими) в проведении экспертизы, а также в форме электронного документа, подписанного квалифицированными электронными подписями руководителя организации, проводившей экспертизу, и эксперта (экспертов), участвовавшего (участвовавших) в проведении экспертизы для последующего внесения его в реестр заключений экспертизы промышленной безопасности в соответствии с Административным регламентом Федеральной службы по экологическому, технологическому и атомному надзору.</w:t>
            </w:r>
          </w:p>
        </w:tc>
        <w:tc>
          <w:tcPr>
            <w:tcW w:w="1849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4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546" w:hRule="atLeast"/>
        </w:trPr>
        <w:tc>
          <w:tcPr>
            <w:tcW w:w="7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kern w:val="0"/>
                <w:lang w:val="ru-RU" w:eastAsia="ru-RU" w:bidi="ar-SA"/>
              </w:rPr>
            </w:pPr>
            <w:r>
              <w:rPr>
                <w:kern w:val="0"/>
                <w:lang w:val="ru-RU" w:eastAsia="ru-RU" w:bidi="ar-SA"/>
              </w:rPr>
            </w:r>
          </w:p>
        </w:tc>
        <w:tc>
          <w:tcPr>
            <w:tcW w:w="1120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1849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/>
            </w:r>
          </w:p>
        </w:tc>
        <w:tc>
          <w:tcPr>
            <w:tcW w:w="14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hanging="0" w:left="0"/>
              <w:contextualSpacing/>
              <w:jc w:val="center"/>
              <w:rPr>
                <w:kern w:val="0"/>
                <w:lang w:val="ru-RU" w:eastAsia="ru-RU" w:bidi="ar-SA"/>
              </w:rPr>
            </w:pPr>
            <w:r>
              <w:rPr>
                <w:kern w:val="0"/>
                <w:lang w:val="ru-RU" w:eastAsia="ru-RU" w:bidi="ar-SA"/>
              </w:rPr>
            </w:r>
          </w:p>
        </w:tc>
        <w:tc>
          <w:tcPr>
            <w:tcW w:w="222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Требования к соисполнителям, привлекаемым к оказанию услуг</w:t>
            </w:r>
          </w:p>
        </w:tc>
        <w:tc>
          <w:tcPr>
            <w:tcW w:w="898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bidi w:val="0"/>
              <w:spacing w:lineRule="auto" w:line="276" w:before="0" w:after="0"/>
              <w:ind w:firstLine="170" w:left="113" w:right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 случае привлечения к оказанию услуг соисполнителей, Исполнитель обязан предоставить Заказчику на момент согласования договора документы, подтверждающие соответствие их квалификационного уровня, а так же готовность и возможность оказания ими услуг.</w:t>
            </w:r>
          </w:p>
        </w:tc>
        <w:tc>
          <w:tcPr>
            <w:tcW w:w="1849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/>
            </w:r>
          </w:p>
        </w:tc>
        <w:tc>
          <w:tcPr>
            <w:tcW w:w="14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1"/>
        <w:keepLines/>
        <w:numPr>
          <w:ilvl w:val="0"/>
          <w:numId w:val="3"/>
        </w:numPr>
        <w:tabs>
          <w:tab w:val="clear" w:pos="708"/>
          <w:tab w:val="left" w:pos="992" w:leader="none"/>
        </w:tabs>
        <w:spacing w:lineRule="auto" w:line="252"/>
        <w:ind w:firstLine="709" w:left="0"/>
        <w:jc w:val="both"/>
        <w:rPr/>
      </w:pPr>
      <w:bookmarkStart w:id="17" w:name="_Toc15"/>
      <w:r>
        <w:rPr/>
        <w:t>Требования к документации по ценообразованию на этапе закупки</w:t>
      </w:r>
      <w:bookmarkEnd w:id="17"/>
    </w:p>
    <w:p>
      <w:pPr>
        <w:pStyle w:val="Normal"/>
        <w:keepNext w:val="true"/>
        <w:keepLines/>
        <w:tabs>
          <w:tab w:val="clear" w:pos="708"/>
          <w:tab w:val="left" w:pos="1134" w:leader="none"/>
        </w:tabs>
        <w:spacing w:lineRule="auto" w:line="252"/>
        <w:ind w:firstLine="709" w:left="0"/>
        <w:jc w:val="both"/>
        <w:rPr>
          <w:sz w:val="24"/>
          <w:szCs w:val="24"/>
        </w:rPr>
      </w:pPr>
      <w:r>
        <w:rPr>
          <w:sz w:val="24"/>
          <w:szCs w:val="24"/>
        </w:rPr>
        <w:t>3.1.</w:t>
        <w:tab/>
        <w:t>В обоснование стоимости заявки Участник должен предоставить «Коммерческое предложение» по форме, приведённый в Документации о закупке.</w:t>
      </w:r>
    </w:p>
    <w:p>
      <w:pPr>
        <w:pStyle w:val="Normal"/>
        <w:keepNext w:val="true"/>
        <w:keepLines/>
        <w:tabs>
          <w:tab w:val="clear" w:pos="708"/>
          <w:tab w:val="left" w:pos="1134" w:leader="none"/>
        </w:tabs>
        <w:spacing w:lineRule="auto" w:line="252"/>
        <w:ind w:firstLine="709" w:left="0"/>
        <w:jc w:val="both"/>
        <w:rPr>
          <w:sz w:val="24"/>
          <w:szCs w:val="24"/>
        </w:rPr>
      </w:pPr>
      <w:r>
        <w:rPr>
          <w:sz w:val="24"/>
          <w:szCs w:val="24"/>
        </w:rPr>
        <w:t>3.2.</w:t>
        <w:tab/>
        <w:t>В составе предложения участник не предоставляет сметную документацию.</w:t>
      </w:r>
    </w:p>
    <w:p>
      <w:pPr>
        <w:pStyle w:val="Heading1"/>
        <w:keepLines/>
        <w:numPr>
          <w:ilvl w:val="0"/>
          <w:numId w:val="3"/>
        </w:numPr>
        <w:tabs>
          <w:tab w:val="clear" w:pos="708"/>
          <w:tab w:val="left" w:pos="992" w:leader="none"/>
        </w:tabs>
        <w:spacing w:lineRule="auto" w:line="252"/>
        <w:ind w:firstLine="709" w:left="0"/>
        <w:jc w:val="both"/>
        <w:rPr/>
      </w:pPr>
      <w:bookmarkStart w:id="18" w:name="_Toc16"/>
      <w:r>
        <w:rPr/>
        <w:t>Требования к документации по ценообразованию на этапе заключения (исполнения) договора</w:t>
      </w:r>
      <w:bookmarkEnd w:id="18"/>
    </w:p>
    <w:p>
      <w:pPr>
        <w:pStyle w:val="Normal"/>
        <w:tabs>
          <w:tab w:val="clear" w:pos="708"/>
          <w:tab w:val="left" w:pos="1134" w:leader="none"/>
        </w:tabs>
        <w:spacing w:lineRule="auto" w:line="252"/>
        <w:ind w:firstLine="709" w:left="0"/>
        <w:jc w:val="both"/>
        <w:rPr>
          <w:sz w:val="24"/>
          <w:szCs w:val="24"/>
        </w:rPr>
      </w:pPr>
      <w:r>
        <w:rPr>
          <w:sz w:val="24"/>
          <w:szCs w:val="24"/>
        </w:rPr>
        <w:t>4.1.</w:t>
        <w:tab/>
        <w:t>Разработка сметной документации осуществляется при заключении и исполнении договора в соответствии со следующими требованиями:</w:t>
      </w:r>
    </w:p>
    <w:p>
      <w:pPr>
        <w:pStyle w:val="Normal"/>
        <w:tabs>
          <w:tab w:val="clear" w:pos="708"/>
          <w:tab w:val="left" w:pos="1134" w:leader="none"/>
        </w:tabs>
        <w:spacing w:lineRule="auto" w:line="252"/>
        <w:ind w:firstLine="709" w:left="0"/>
        <w:jc w:val="both"/>
        <w:rPr/>
      </w:pPr>
      <w:r>
        <w:rPr>
          <w:sz w:val="24"/>
          <w:szCs w:val="24"/>
        </w:rPr>
        <w:t>Для определения сметной стоимости выполняемых работ составляется сметная документация, состоящая из локальных смет, локальных сметных расчетов, сводных сметных расчетов.</w:t>
      </w:r>
    </w:p>
    <w:p>
      <w:pPr>
        <w:pStyle w:val="Normal"/>
        <w:tabs>
          <w:tab w:val="clear" w:pos="708"/>
          <w:tab w:val="left" w:pos="1134" w:leader="none"/>
        </w:tabs>
        <w:spacing w:lineRule="auto" w:line="252"/>
        <w:ind w:firstLine="709" w:left="0"/>
        <w:jc w:val="both"/>
        <w:rPr>
          <w:sz w:val="24"/>
          <w:szCs w:val="24"/>
        </w:rPr>
      </w:pPr>
      <w:r>
        <w:rPr>
          <w:sz w:val="24"/>
          <w:szCs w:val="24"/>
        </w:rPr>
        <w:t>При использовании сборников базисных цен на конкретные виды работ приоритетным методом определения текущей стоимости работ является ресурсно-индексный метод. Использование иного метода должно быть согласовано профильными службами с Сметно-договорного отдела АО «ДГК» (далее-СДО) до начала формирования сметной документации.</w:t>
      </w:r>
    </w:p>
    <w:p>
      <w:pPr>
        <w:pStyle w:val="Normal"/>
        <w:tabs>
          <w:tab w:val="clear" w:pos="708"/>
          <w:tab w:val="left" w:pos="1134" w:leader="none"/>
        </w:tabs>
        <w:spacing w:lineRule="auto" w:line="252"/>
        <w:ind w:firstLine="709" w:left="0"/>
        <w:jc w:val="both"/>
        <w:rPr>
          <w:sz w:val="24"/>
          <w:szCs w:val="24"/>
        </w:rPr>
      </w:pPr>
      <w:r>
        <w:rPr>
          <w:sz w:val="24"/>
          <w:szCs w:val="24"/>
        </w:rPr>
        <w:t>При составлении локальных сметных расчетов следует принимать во внимание как рекомендательные письма федеральных и региональных органов ценообразования, так и писем СДО.</w:t>
      </w:r>
    </w:p>
    <w:p>
      <w:pPr>
        <w:pStyle w:val="Normal"/>
        <w:tabs>
          <w:tab w:val="clear" w:pos="708"/>
          <w:tab w:val="left" w:pos="1134" w:leader="none"/>
        </w:tabs>
        <w:spacing w:lineRule="auto" w:line="252"/>
        <w:ind w:firstLine="709" w:left="0"/>
        <w:jc w:val="both"/>
        <w:rPr>
          <w:sz w:val="24"/>
          <w:szCs w:val="24"/>
        </w:rPr>
      </w:pPr>
      <w:r>
        <w:rPr>
          <w:sz w:val="24"/>
          <w:szCs w:val="24"/>
        </w:rPr>
        <w:t>На стадии заключения Договора подрядчик предоставляет смету, составленную на основании следующих справочников:</w:t>
      </w:r>
    </w:p>
    <w:p>
      <w:pPr>
        <w:pStyle w:val="Normal"/>
        <w:tabs>
          <w:tab w:val="clear" w:pos="708"/>
          <w:tab w:val="left" w:pos="1134" w:leader="none"/>
        </w:tabs>
        <w:spacing w:lineRule="auto" w:line="252"/>
        <w:ind w:firstLine="709" w:left="0"/>
        <w:jc w:val="both"/>
        <w:rPr>
          <w:sz w:val="24"/>
          <w:szCs w:val="24"/>
        </w:rPr>
      </w:pPr>
      <w:r>
        <w:rPr>
          <w:sz w:val="24"/>
          <w:szCs w:val="24"/>
        </w:rPr>
        <w:t>- Справочники Базовых цен на работы по ремонту энергетического оборудования (с индексом перевода в текущие цены к=5,3);</w:t>
      </w:r>
    </w:p>
    <w:p>
      <w:pPr>
        <w:pStyle w:val="Normal"/>
        <w:tabs>
          <w:tab w:val="clear" w:pos="708"/>
          <w:tab w:val="left" w:pos="1134" w:leader="none"/>
        </w:tabs>
        <w:spacing w:lineRule="auto" w:line="252"/>
        <w:ind w:firstLine="709" w:left="0"/>
        <w:jc w:val="both"/>
        <w:rPr>
          <w:sz w:val="24"/>
          <w:szCs w:val="24"/>
        </w:rPr>
      </w:pPr>
      <w:r>
        <w:rPr>
          <w:sz w:val="24"/>
          <w:szCs w:val="24"/>
        </w:rPr>
        <w:t>- Прейскуранты на экспериментально-наладочные работы ОРГРЭС (с индексом перевода в текущие цены с учетом деноминации 1997 года к=0,158);</w:t>
      </w:r>
    </w:p>
    <w:p>
      <w:pPr>
        <w:pStyle w:val="Normal"/>
        <w:tabs>
          <w:tab w:val="clear" w:pos="708"/>
          <w:tab w:val="left" w:pos="1134" w:leader="none"/>
        </w:tabs>
        <w:spacing w:lineRule="auto" w:line="252"/>
        <w:ind w:firstLine="709" w:left="0"/>
        <w:jc w:val="both"/>
        <w:rPr>
          <w:sz w:val="24"/>
          <w:szCs w:val="24"/>
        </w:rPr>
      </w:pPr>
      <w:r>
        <w:rPr>
          <w:sz w:val="24"/>
          <w:szCs w:val="24"/>
        </w:rPr>
        <w:t>- Справочники по обследованию и оценке технического состояния ЗиС (с индексами перевода к справочникам уровня 1995 года к=51.26, к уровню цен 2001 года к=6,7).</w:t>
      </w:r>
    </w:p>
    <w:p>
      <w:pPr>
        <w:pStyle w:val="Normal"/>
        <w:tabs>
          <w:tab w:val="clear" w:pos="708"/>
          <w:tab w:val="left" w:pos="1134" w:leader="none"/>
        </w:tabs>
        <w:spacing w:lineRule="auto" w:line="252"/>
        <w:ind w:firstLine="709" w:left="0"/>
        <w:jc w:val="both"/>
        <w:rPr>
          <w:sz w:val="24"/>
          <w:szCs w:val="24"/>
        </w:rPr>
      </w:pPr>
      <w:r>
        <w:rPr>
          <w:sz w:val="24"/>
          <w:szCs w:val="24"/>
        </w:rPr>
        <w:t>- При отсутствии расценок в вышеуказанных справочниках допустимо составление сметного расчета по форме 3П с ценой, соответствующей итоговой сумме заявки.</w:t>
      </w:r>
    </w:p>
    <w:p>
      <w:pPr>
        <w:pStyle w:val="Normal"/>
        <w:tabs>
          <w:tab w:val="clear" w:pos="708"/>
          <w:tab w:val="left" w:pos="1134" w:leader="none"/>
        </w:tabs>
        <w:spacing w:lineRule="auto" w:line="252"/>
        <w:ind w:firstLine="709" w:left="0"/>
        <w:jc w:val="both"/>
        <w:rPr>
          <w:sz w:val="24"/>
          <w:szCs w:val="24"/>
        </w:rPr>
      </w:pPr>
      <w:r>
        <w:rPr>
          <w:sz w:val="24"/>
          <w:szCs w:val="24"/>
        </w:rPr>
        <w:t>Составление сметного расчета по форме 3П (по трудозатратам) на стадии заключения договора участник, признанный победителем по результатам конкурентной процедуры, обязан предоставить справку, заверенную руководителем организации и главным бухгалтером, подтверждающую заработную плату непосредственных исполнителей работ (час или день в соответствии с единицей измерения учтенного в расчете), накладные расходы (в процентах) и размер рентабельности (в процентах).</w:t>
      </w:r>
    </w:p>
    <w:p>
      <w:pPr>
        <w:pStyle w:val="Normal"/>
        <w:tabs>
          <w:tab w:val="clear" w:pos="708"/>
          <w:tab w:val="left" w:pos="1134" w:leader="none"/>
        </w:tabs>
        <w:spacing w:lineRule="auto" w:line="252"/>
        <w:ind w:firstLine="709" w:left="0"/>
        <w:jc w:val="both"/>
        <w:rPr>
          <w:sz w:val="24"/>
          <w:szCs w:val="24"/>
          <w:highlight w:val="none"/>
        </w:rPr>
      </w:pPr>
      <w:r>
        <w:rPr>
          <w:sz w:val="24"/>
          <w:szCs w:val="24"/>
        </w:rPr>
        <w:t>Командировочные расходы в случае их учета в сметах определяются по предварительному расчету с расшифровкой затрат на проезд, проживание, суточные расходы (не более 700 руб./сут.). Заказчик имеет право в период действия договора запросить у Подрядчика копии первичных документов, платёжных поручений, реестры и т.д. для проверки соответствия суммы командировочных расходов фактическим затратам.</w:t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Arial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both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22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both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26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both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bullet"/>
      <w:lvlText w:val="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6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2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4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6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8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0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2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4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69" w:hanging="180"/>
      </w:pPr>
      <w:rPr/>
    </w:lvl>
  </w:abstractNum>
  <w:abstractNum w:abstractNumId="11">
    <w:lvl w:ilvl="0">
      <w:start w:val="1"/>
      <w:numFmt w:val="decimal"/>
      <w:lvlText w:val="1.%1"/>
      <w:lvlJc w:val="left"/>
      <w:pPr>
        <w:tabs>
          <w:tab w:val="num" w:pos="0"/>
        </w:tabs>
        <w:ind w:left="70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2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4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6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8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0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2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4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69" w:hanging="180"/>
      </w:pPr>
      <w:rPr/>
    </w:lvl>
  </w:abstractNum>
  <w:abstractNum w:abstractNumId="12">
    <w:lvl w:ilvl="0">
      <w:start w:val="1"/>
      <w:numFmt w:val="decimal"/>
      <w:lvlText w:val="1.%1"/>
      <w:lvlJc w:val="left"/>
      <w:pPr>
        <w:tabs>
          <w:tab w:val="num" w:pos="0"/>
        </w:tabs>
        <w:ind w:left="70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2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4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6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8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0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2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4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69" w:hanging="180"/>
      </w:pPr>
      <w:rPr/>
    </w:lvl>
  </w:abstractNum>
  <w:abstractNum w:abstractNumId="13">
    <w:lvl w:ilvl="0">
      <w:start w:val="1"/>
      <w:numFmt w:val="bullet"/>
      <w:lvlText w:val="–"/>
      <w:lvlJc w:val="left"/>
      <w:pPr>
        <w:tabs>
          <w:tab w:val="num" w:pos="0"/>
        </w:tabs>
        <w:ind w:left="709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bullet"/>
      <w:lvlText w:val="–"/>
      <w:lvlJc w:val="left"/>
      <w:pPr>
        <w:tabs>
          <w:tab w:val="num" w:pos="0"/>
        </w:tabs>
        <w:ind w:left="905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3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30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5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2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665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w="http://schemas.openxmlformats.org/wordprocessingml/2006/main">
  <w:zoom w:percent="107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Arial Unicode MS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Arial Unicode MS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qFormat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qFormat/>
    <w:pPr>
      <w:outlineLvl w:val="1"/>
    </w:pPr>
    <w:rPr/>
  </w:style>
  <w:style w:type="paragraph" w:styleId="Heading3">
    <w:name w:val="Heading 3"/>
    <w:basedOn w:val="Normal"/>
    <w:qFormat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Heading4">
    <w:name w:val="Heading 4"/>
    <w:basedOn w:val="Heading3"/>
    <w:qFormat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uiPriority w:val="9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Heading7">
    <w:name w:val="Heading 7"/>
    <w:basedOn w:val="Normal"/>
    <w:uiPriority w:val="9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Heading8">
    <w:name w:val="Heading 8"/>
    <w:basedOn w:val="Normal"/>
    <w:uiPriority w:val="9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Heading9">
    <w:name w:val="Heading 9"/>
    <w:basedOn w:val="Normal"/>
    <w:uiPriority w:val="9"/>
    <w:qFormat/>
    <w:pPr>
      <w:spacing w:before="240" w:after="60"/>
      <w:outlineLvl w:val="8"/>
    </w:pPr>
    <w:rPr>
      <w:rFonts w:ascii="Arial" w:hAnsi="Arial"/>
      <w:sz w:val="22"/>
      <w:szCs w:val="22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CaptionChar">
    <w:name w:val="Caption Char"/>
    <w:uiPriority w:val="99"/>
    <w:qFormat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" w:customStyle="1">
    <w:name w:val="Заголовок Знак"/>
    <w:basedOn w:val="DefaultParagraphFont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1" w:customStyle="1">
    <w:name w:val="Нижний колонтитул Знак"/>
    <w:uiPriority w:val="99"/>
    <w:qFormat/>
    <w:rPr/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Style2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uiPriority w:val="99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Pr>
      <w:sz w:val="16"/>
      <w:szCs w:val="16"/>
    </w:rPr>
  </w:style>
  <w:style w:type="character" w:styleId="Strong">
    <w:name w:val="Strong"/>
    <w:uiPriority w:val="22"/>
    <w:qFormat/>
    <w:rPr>
      <w:b/>
      <w:bCs/>
    </w:rPr>
  </w:style>
  <w:style w:type="character" w:styleId="6" w:customStyle="1">
    <w:name w:val="Заголовок 6 Знак"/>
    <w:uiPriority w:val="9"/>
    <w:qFormat/>
    <w:rPr>
      <w:rFonts w:ascii="Cambria" w:hAnsi="Cambria"/>
      <w:i/>
      <w:iCs/>
      <w:color w:val="243F60"/>
    </w:rPr>
  </w:style>
  <w:style w:type="character" w:styleId="7" w:customStyle="1">
    <w:name w:val="Заголовок 7 Знак"/>
    <w:uiPriority w:val="9"/>
    <w:qFormat/>
    <w:rPr>
      <w:rFonts w:ascii="Cambria" w:hAnsi="Cambria"/>
      <w:i/>
      <w:iCs/>
      <w:color w:val="404040"/>
    </w:rPr>
  </w:style>
  <w:style w:type="character" w:styleId="8" w:customStyle="1">
    <w:name w:val="Заголовок 8 Знак"/>
    <w:uiPriority w:val="9"/>
    <w:qFormat/>
    <w:rPr>
      <w:rFonts w:ascii="Cambria" w:hAnsi="Cambria"/>
      <w:color w:val="4F81BD"/>
    </w:rPr>
  </w:style>
  <w:style w:type="character" w:styleId="1" w:customStyle="1">
    <w:name w:val="Заголовок 1 Знак"/>
    <w:qFormat/>
    <w:rPr>
      <w:rFonts w:eastAsia="Calibri"/>
      <w:b/>
      <w:sz w:val="28"/>
      <w:szCs w:val="28"/>
    </w:rPr>
  </w:style>
  <w:style w:type="character" w:styleId="2" w:customStyle="1">
    <w:name w:val="Заголовок 2 Знак"/>
    <w:qFormat/>
    <w:rPr>
      <w:rFonts w:eastAsia="Calibri"/>
      <w:b/>
      <w:bCs/>
      <w:sz w:val="24"/>
      <w:szCs w:val="24"/>
    </w:rPr>
  </w:style>
  <w:style w:type="character" w:styleId="3" w:customStyle="1">
    <w:name w:val="Заголовок 3 Знак"/>
    <w:qFormat/>
    <w:rPr>
      <w:rFonts w:eastAsia="Calibri"/>
      <w:b/>
      <w:sz w:val="24"/>
      <w:szCs w:val="24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</w:rPr>
  </w:style>
  <w:style w:type="character" w:styleId="5" w:customStyle="1">
    <w:name w:val="Заголовок 5 Знак"/>
    <w:uiPriority w:val="9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Pr>
      <w:rFonts w:ascii="Arial" w:hAnsi="Arial" w:cs="Arial"/>
      <w:sz w:val="22"/>
      <w:szCs w:val="22"/>
    </w:rPr>
  </w:style>
  <w:style w:type="character" w:styleId="Style3" w:customStyle="1">
    <w:name w:val="Название Знак"/>
    <w:uiPriority w:val="10"/>
    <w:qFormat/>
    <w:rPr>
      <w:sz w:val="28"/>
    </w:rPr>
  </w:style>
  <w:style w:type="character" w:styleId="Style4" w:customStyle="1">
    <w:name w:val="Подзаголовок Знак"/>
    <w:uiPriority w:val="11"/>
    <w:qFormat/>
    <w:rPr>
      <w:rFonts w:ascii="Cambria" w:hAnsi="Cambria"/>
      <w:i/>
      <w:iCs/>
      <w:color w:val="4F81BD"/>
      <w:spacing w:val="15"/>
      <w:sz w:val="24"/>
      <w:szCs w:val="24"/>
    </w:rPr>
  </w:style>
  <w:style w:type="character" w:styleId="Emphasis">
    <w:name w:val="Emphasis"/>
    <w:uiPriority w:val="20"/>
    <w:qFormat/>
    <w:rPr>
      <w:i/>
      <w:iCs/>
    </w:rPr>
  </w:style>
  <w:style w:type="character" w:styleId="21" w:customStyle="1">
    <w:name w:val="Цитата 2 Знак"/>
    <w:uiPriority w:val="29"/>
    <w:qFormat/>
    <w:rPr>
      <w:rFonts w:ascii="Calibri" w:hAnsi="Calibri" w:eastAsia="Calibri"/>
      <w:i/>
      <w:iCs/>
      <w:color w:val="000000"/>
    </w:rPr>
  </w:style>
  <w:style w:type="character" w:styleId="Style5" w:customStyle="1">
    <w:name w:val="Выделенная цитата Знак"/>
    <w:uiPriority w:val="30"/>
    <w:qFormat/>
    <w:rPr>
      <w:rFonts w:ascii="Calibri" w:hAnsi="Calibri" w:eastAsia="Calibri"/>
      <w:b/>
      <w:bCs/>
      <w:i/>
      <w:iCs/>
      <w:color w:val="4F81BD"/>
    </w:rPr>
  </w:style>
  <w:style w:type="character" w:styleId="SubtleEmphasis">
    <w:name w:val="Subtle Emphasis"/>
    <w:uiPriority w:val="19"/>
    <w:qFormat/>
    <w:rPr>
      <w:i/>
      <w:iCs/>
      <w:color w:val="808080"/>
    </w:rPr>
  </w:style>
  <w:style w:type="character" w:styleId="IntenseEmphasis">
    <w:name w:val="Intense Emphasis"/>
    <w:uiPriority w:val="21"/>
    <w:qFormat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Pr>
      <w:smallCaps/>
      <w:color w:val="C0504D"/>
      <w:u w:val="single"/>
    </w:rPr>
  </w:style>
  <w:style w:type="character" w:styleId="IntenseReference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Pr>
      <w:b/>
      <w:bCs/>
      <w:smallCaps/>
      <w:spacing w:val="5"/>
    </w:rPr>
  </w:style>
  <w:style w:type="character" w:styleId="Style6" w:customStyle="1">
    <w:name w:val="Электронная подпись Знак"/>
    <w:uiPriority w:val="99"/>
    <w:qFormat/>
    <w:rPr>
      <w:rFonts w:eastAsia="Calibri"/>
      <w:sz w:val="24"/>
      <w:szCs w:val="24"/>
    </w:rPr>
  </w:style>
  <w:style w:type="character" w:styleId="11" w:customStyle="1">
    <w:name w:val="Подпункт Знак1"/>
    <w:qFormat/>
    <w:rPr>
      <w:sz w:val="28"/>
    </w:rPr>
  </w:style>
  <w:style w:type="character" w:styleId="Style7" w:customStyle="1">
    <w:name w:val="Текст сноски Знак"/>
    <w:qFormat/>
    <w:rPr/>
  </w:style>
  <w:style w:type="character" w:styleId="Style8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9" w:customStyle="1">
    <w:name w:val="Абзац списка Знак"/>
    <w:uiPriority w:val="34"/>
    <w:qFormat/>
    <w:rPr>
      <w:rFonts w:eastAsia="Calibri"/>
      <w:sz w:val="24"/>
      <w:szCs w:val="24"/>
    </w:rPr>
  </w:style>
  <w:style w:type="character" w:styleId="Style10" w:customStyle="1">
    <w:name w:val="комментарий"/>
    <w:qFormat/>
    <w:rPr>
      <w:b/>
      <w:i/>
      <w:shd w:fill="FFFF99" w:val="clear"/>
    </w:rPr>
  </w:style>
  <w:style w:type="character" w:styleId="Style11" w:customStyle="1">
    <w:name w:val="Подподпункт Знак"/>
    <w:qFormat/>
    <w:rPr>
      <w:sz w:val="26"/>
      <w:szCs w:val="26"/>
    </w:rPr>
  </w:style>
  <w:style w:type="character" w:styleId="31" w:customStyle="1">
    <w:name w:val="УРОВЕНЬ_Абзац_тип3 Знак"/>
    <w:qFormat/>
    <w:rPr>
      <w:rFonts w:eastAsia="Calibri"/>
      <w:sz w:val="26"/>
      <w:szCs w:val="28"/>
      <w:lang w:eastAsia="en-US"/>
    </w:rPr>
  </w:style>
  <w:style w:type="character" w:styleId="Style12" w:customStyle="1">
    <w:name w:val="Верхний колонтитул Знак"/>
    <w:uiPriority w:val="99"/>
    <w:qFormat/>
    <w:rPr>
      <w:sz w:val="24"/>
      <w:szCs w:val="24"/>
    </w:rPr>
  </w:style>
  <w:style w:type="character" w:styleId="Style13" w:customStyle="1">
    <w:name w:val="Текст примечания Знак"/>
    <w:qFormat/>
    <w:rPr/>
  </w:style>
  <w:style w:type="character" w:styleId="Style14" w:customStyle="1">
    <w:name w:val="Текст концевой сноски Знак"/>
    <w:basedOn w:val="DefaultParagraphFont"/>
    <w:qFormat/>
    <w:rPr/>
  </w:style>
  <w:style w:type="character" w:styleId="Style15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qFormat/>
    <w:rPr>
      <w:b/>
      <w:sz w:val="28"/>
    </w:rPr>
  </w:style>
  <w:style w:type="character" w:styleId="12" w:customStyle="1">
    <w:name w:val="УРОВЕНЬ_1. Знак"/>
    <w:qFormat/>
    <w:rPr>
      <w:rFonts w:eastAsia="Calibri"/>
      <w:caps/>
      <w:sz w:val="28"/>
      <w:szCs w:val="28"/>
      <w:lang w:eastAsia="en-US"/>
    </w:rPr>
  </w:style>
  <w:style w:type="character" w:styleId="Style16">
    <w:name w:val="Ссылка указателя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uiPriority w:val="35"/>
    <w:qFormat/>
    <w:pPr/>
    <w:rPr>
      <w:rFonts w:eastAsia="Calibri"/>
      <w:b/>
      <w:bCs/>
      <w:color w:val="4F81BD"/>
      <w:sz w:val="18"/>
      <w:szCs w:val="18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Tableoffigures">
    <w:name w:val="table of figures"/>
    <w:basedOn w:val="Normal"/>
    <w:uiPriority w:val="99"/>
    <w:unhideWhenUsed/>
    <w:qFormat/>
    <w:pPr/>
    <w:rPr/>
  </w:style>
  <w:style w:type="paragraph" w:styleId="Style19" w:customStyle="1">
    <w:name w:val="Название раздела инструкции"/>
    <w:basedOn w:val="Normal"/>
    <w:qFormat/>
    <w:pPr>
      <w:jc w:val="center"/>
    </w:pPr>
    <w:rPr>
      <w:b/>
    </w:rPr>
  </w:style>
  <w:style w:type="paragraph" w:styleId="Style20" w:customStyle="1">
    <w:name w:val="Раздел положения"/>
    <w:basedOn w:val="Normal"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13" w:customStyle="1">
    <w:name w:val="Шапка 1"/>
    <w:basedOn w:val="Normal"/>
    <w:qFormat/>
    <w:pPr>
      <w:pBdr>
        <w:bottom w:val="single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pPr>
      <w:pBdr>
        <w:bottom w:val="single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pPr>
      <w:pBdr>
        <w:bottom w:val="single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uiPriority w:val="10"/>
    <w:qFormat/>
    <w:pPr>
      <w:jc w:val="center"/>
    </w:pPr>
    <w:rPr>
      <w:szCs w:val="20"/>
    </w:rPr>
  </w:style>
  <w:style w:type="paragraph" w:styleId="Style22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hanging="0" w:left="36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qFormat/>
    <w:pPr>
      <w:tabs>
        <w:tab w:val="clear" w:pos="708"/>
        <w:tab w:val="left" w:pos="1134" w:leader="none"/>
      </w:tabs>
      <w:spacing w:lineRule="auto" w:line="360"/>
      <w:ind w:hanging="1134" w:left="1134"/>
      <w:jc w:val="both"/>
    </w:pPr>
    <w:rPr>
      <w:szCs w:val="20"/>
    </w:rPr>
  </w:style>
  <w:style w:type="paragraph" w:styleId="24" w:customStyle="1">
    <w:name w:val="Пункт2"/>
    <w:basedOn w:val="Normal"/>
    <w:qFormat/>
    <w:pPr>
      <w:keepNext w:val="true"/>
      <w:tabs>
        <w:tab w:val="clear" w:pos="708"/>
        <w:tab w:val="left" w:pos="1134" w:leader="none"/>
      </w:tabs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uiPriority w:val="39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uiPriority w:val="39"/>
    <w:pPr>
      <w:ind w:hanging="0" w:left="28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pPr/>
    <w:rPr/>
  </w:style>
  <w:style w:type="paragraph" w:styleId="Style25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uiPriority w:val="39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qFormat/>
    <w:pPr/>
    <w:rPr>
      <w:sz w:val="20"/>
      <w:szCs w:val="20"/>
    </w:rPr>
  </w:style>
  <w:style w:type="paragraph" w:styleId="Annotationsubject">
    <w:name w:val="annotation subject"/>
    <w:basedOn w:val="Annotationtext"/>
    <w:semiHidden/>
    <w:qFormat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semiHidden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semiHidden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uiPriority w:val="39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uiPriority w:val="11"/>
    <w:qFormat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uiPriority w:val="29"/>
    <w:qFormat/>
    <w:pPr/>
    <w:rPr>
      <w:rFonts w:ascii="Calibri" w:hAnsi="Calibri"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uiPriority w:val="30"/>
    <w:qFormat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uiPriority w:val="39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uiPriority w:val="99"/>
    <w:unhideWhenUsed/>
    <w:qFormat/>
    <w:pPr/>
    <w:rPr>
      <w:rFonts w:eastAsia="Calibri"/>
      <w:sz w:val="24"/>
      <w:szCs w:val="24"/>
    </w:rPr>
  </w:style>
  <w:style w:type="paragraph" w:styleId="Style27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Arial Unicode MS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Noto Serif CJK SC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30" w:customStyle="1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1" w:customStyle="1">
    <w:name w:val="Подподпункт"/>
    <w:basedOn w:val="Style23"/>
    <w:qFormat/>
    <w:pPr>
      <w:tabs>
        <w:tab w:val="clear" w:pos="1134"/>
        <w:tab w:val="left" w:pos="5104" w:leader="none"/>
      </w:tabs>
      <w:spacing w:lineRule="auto" w:line="240" w:before="120" w:after="0"/>
      <w:ind w:hanging="567" w:left="5104"/>
    </w:pPr>
    <w:rPr>
      <w:sz w:val="26"/>
      <w:szCs w:val="26"/>
    </w:rPr>
  </w:style>
  <w:style w:type="paragraph" w:styleId="Style32" w:customStyle="1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sz w:val="40"/>
      <w:szCs w:val="20"/>
    </w:rPr>
  </w:style>
  <w:style w:type="paragraph" w:styleId="EndnoteText">
    <w:name w:val="Endnote Text"/>
    <w:basedOn w:val="Normal"/>
    <w:pPr/>
    <w:rPr>
      <w:sz w:val="20"/>
      <w:szCs w:val="20"/>
    </w:rPr>
  </w:style>
  <w:style w:type="paragraph" w:styleId="28" w:customStyle="1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sz w:val="24"/>
      <w:szCs w:val="20"/>
    </w:rPr>
  </w:style>
  <w:style w:type="paragraph" w:styleId="Style34" w:customStyle="1">
    <w:name w:val="Таблица текст"/>
    <w:basedOn w:val="Normal"/>
    <w:qFormat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qFormat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unhideWhenUsed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unhideWhenUsed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unhideWhenUsed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5">
    <w:name w:val="Содержимое врезки"/>
    <w:basedOn w:val="Normal"/>
    <w:qFormat/>
    <w:pPr/>
    <w:rPr/>
  </w:style>
  <w:style w:type="paragraph" w:styleId="Style36">
    <w:name w:val="Содержимое таблицы"/>
    <w:basedOn w:val="Normal"/>
    <w:qFormat/>
    <w:pPr>
      <w:widowControl w:val="false"/>
      <w:suppressLineNumbers/>
    </w:pPr>
    <w:rPr/>
  </w:style>
  <w:style w:type="paragraph" w:styleId="Style37">
    <w:name w:val="Заголовок таблицы"/>
    <w:basedOn w:val="Style3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</w:style>
  <w:style w:type="numbering" w:styleId="29" w:customStyle="1">
    <w:name w:val="Стиль2"/>
    <w:uiPriority w:val="99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D964E-2ACE-4132-B9BC-50F0488BE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Application>AlterOffice/2026.2.1.0$Linux_X86_64 LibreOffice_project/f008988ffacaa0b2bf57911c2759d08ca79831df</Application>
  <AppVersion>15.0000</AppVersion>
  <Pages>25</Pages>
  <Words>5338</Words>
  <Characters>37760</Characters>
  <CharactersWithSpaces>42024</CharactersWithSpaces>
  <Paragraphs>999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>khrapataya_ys@DGK.RU</cp:lastModifiedBy>
  <dcterms:modified xsi:type="dcterms:W3CDTF">2026-10-30T16:53:32Z</dcterms:modified>
  <cp:revision>69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