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120"/>
        <w:ind w:hanging="0" w:left="425"/>
        <w:jc w:val="center"/>
        <w:rPr>
          <w:rFonts w:ascii="Times New Roman" w:hAnsi="Times New Roman" w:eastAsia="Calibri"/>
          <w:b/>
          <w:bCs/>
          <w:caps/>
          <w:highlight w:val="none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</w:t>
      </w:r>
      <w:bookmarkStart w:id="0" w:name="_GoBack"/>
      <w:bookmarkEnd w:id="0"/>
      <w:r>
        <w:rPr>
          <w:rFonts w:eastAsia="Calibri" w:ascii="Times New Roman" w:hAnsi="Times New Roman"/>
          <w:b/>
          <w:caps/>
          <w:szCs w:val="24"/>
        </w:rPr>
        <w:t>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1"/>
        </w:numPr>
        <w:spacing w:lineRule="exact" w:line="360" w:before="120" w:after="120"/>
        <w:ind w:hanging="357" w:left="714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839"/>
        <w:tblW w:w="10486" w:type="dxa"/>
        <w:jc w:val="left"/>
        <w:tblInd w:w="-4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50"/>
        <w:gridCol w:w="2719"/>
        <w:gridCol w:w="6617"/>
      </w:tblGrid>
      <w:tr>
        <w:trPr>
          <w:trHeight w:val="459" w:hRule="atLeast"/>
        </w:trPr>
        <w:tc>
          <w:tcPr>
            <w:tcW w:w="1150" w:type="dxa"/>
            <w:tcBorders/>
          </w:tcPr>
          <w:p>
            <w:pPr>
              <w:pStyle w:val="Normal"/>
              <w:widowControl/>
              <w:spacing w:lineRule="auto" w:line="24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719" w:type="dxa"/>
            <w:tcBorders/>
          </w:tcPr>
          <w:p>
            <w:pPr>
              <w:pStyle w:val="Normal"/>
              <w:widowControl/>
              <w:spacing w:lineRule="auto" w:line="24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6617" w:type="dxa"/>
            <w:tcBorders/>
          </w:tcPr>
          <w:p>
            <w:pPr>
              <w:pStyle w:val="Normal"/>
              <w:widowControl/>
              <w:spacing w:lineRule="auto" w:line="24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Normal"/>
              <w:widowControl/>
              <w:numPr>
                <w:ilvl w:val="1"/>
                <w:numId w:val="1"/>
              </w:numPr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19" w:type="dxa"/>
            <w:tcBorders/>
          </w:tcPr>
          <w:p>
            <w:pPr>
              <w:pStyle w:val="Normal"/>
              <w:widowControl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66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ОКПД2 71.20.12.000 Оказание услуг по продлению срока безопасной эксплуатации зданий и сооружений для нужд структурных подразделений АО "ДГК", расположенных в Хабаровском крае, Приморском крае, Амурской области и Республике Саха (Якутия)</w:t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Normal"/>
              <w:widowControl/>
              <w:numPr>
                <w:ilvl w:val="1"/>
                <w:numId w:val="1"/>
              </w:numPr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19" w:type="dxa"/>
            <w:tcBorders/>
          </w:tcPr>
          <w:p>
            <w:pPr>
              <w:pStyle w:val="Normal"/>
              <w:widowControl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6617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41005003-ЭКСП ПРОД-2027-ДГК</w:t>
            </w:r>
          </w:p>
        </w:tc>
      </w:tr>
      <w:tr>
        <w:trPr>
          <w:trHeight w:val="507" w:hRule="atLeast"/>
        </w:trPr>
        <w:tc>
          <w:tcPr>
            <w:tcW w:w="1150" w:type="dxa"/>
            <w:tcBorders/>
          </w:tcPr>
          <w:p>
            <w:pPr>
              <w:pStyle w:val="Normal"/>
              <w:widowControl/>
              <w:numPr>
                <w:ilvl w:val="1"/>
                <w:numId w:val="1"/>
              </w:numPr>
              <w:spacing w:lineRule="exact" w:line="360" w:before="120" w:after="120"/>
              <w:ind w:hanging="0" w:left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2719" w:type="dxa"/>
            <w:tcBorders/>
          </w:tcPr>
          <w:p>
            <w:pPr>
              <w:pStyle w:val="Normal"/>
              <w:widowControl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НМЦ</w:t>
            </w:r>
          </w:p>
        </w:tc>
        <w:tc>
          <w:tcPr>
            <w:tcW w:w="661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34 063 310,00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руб. без НДС</w:t>
            </w:r>
          </w:p>
        </w:tc>
      </w:tr>
    </w:tbl>
    <w:p>
      <w:pPr>
        <w:pStyle w:val="Normal"/>
        <w:spacing w:lineRule="exact" w:line="360" w:before="120" w:after="120"/>
        <w:ind w:hanging="0" w:left="425" w:right="0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2. Использованный метод:</w:t>
      </w:r>
    </w:p>
    <w:p>
      <w:pPr>
        <w:pStyle w:val="Normal"/>
        <w:widowControl/>
        <w:suppressAutoHyphens w:val="true"/>
        <w:bidi w:val="0"/>
        <w:spacing w:lineRule="auto" w:line="240" w:beforeAutospacing="0" w:before="0" w:afterAutospacing="0" w:after="120"/>
        <w:ind w:firstLine="340" w:left="0" w:right="0"/>
        <w:contextualSpacing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Метод анализа технико-коммерческих предложений, с помощью мониторинга рынка на ЭТП, лот №</w:t>
      </w:r>
      <w:r>
        <w:rPr>
          <w:rFonts w:eastAsia="Arial" w:cs="Arial" w:ascii="Times New Roman" w:hAnsi="Times New Roman"/>
          <w:b w:val="false"/>
          <w:sz w:val="26"/>
          <w:szCs w:val="26"/>
        </w:rPr>
        <w:t xml:space="preserve"> </w:t>
      </w:r>
      <w:r>
        <w:rPr>
          <w:rFonts w:eastAsia="Arial" w:cs="Arial" w:ascii="Times New Roman" w:hAnsi="Times New Roman"/>
          <w:b w:val="false"/>
          <w:sz w:val="26"/>
          <w:szCs w:val="26"/>
        </w:rPr>
        <w:t>RH02102600004</w:t>
      </w:r>
    </w:p>
    <w:p>
      <w:pPr>
        <w:pStyle w:val="Normal"/>
        <w:widowControl/>
        <w:suppressAutoHyphens w:val="true"/>
        <w:bidi w:val="0"/>
        <w:spacing w:lineRule="auto" w:line="240" w:beforeAutospacing="0" w:before="0" w:afterAutospacing="0" w:after="120"/>
        <w:ind w:firstLine="340" w:left="0" w:right="0"/>
        <w:contextualSpacing/>
        <w:jc w:val="both"/>
        <w:rPr>
          <w:rFonts w:ascii="Arial" w:hAnsi="Arial" w:eastAsia="Arial" w:cs="Arial"/>
          <w:b w:val="false"/>
        </w:rPr>
      </w:pPr>
      <w:r>
        <w:rPr>
          <w:sz w:val="26"/>
          <w:szCs w:val="26"/>
        </w:rPr>
      </w:r>
    </w:p>
    <w:p>
      <w:pPr>
        <w:pStyle w:val="Normal"/>
        <w:spacing w:before="0" w:after="120"/>
        <w:ind w:hanging="0" w:left="360"/>
        <w:contextualSpacing/>
        <w:jc w:val="both"/>
        <w:rPr>
          <w:rFonts w:eastAsia="Calibri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Обоснование расчета НМЦ:</w:t>
      </w:r>
    </w:p>
    <w:tbl>
      <w:tblPr>
        <w:tblW w:w="10150" w:type="dxa"/>
        <w:jc w:val="left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76"/>
        <w:gridCol w:w="2383"/>
        <w:gridCol w:w="1584"/>
        <w:gridCol w:w="1528"/>
        <w:gridCol w:w="1879"/>
      </w:tblGrid>
      <w:tr>
        <w:trPr>
          <w:trHeight w:val="70" w:hRule="atLeast"/>
        </w:trPr>
        <w:tc>
          <w:tcPr>
            <w:tcW w:w="277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238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highlight w:val="white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158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highlight w:val="white"/>
                <w:lang w:eastAsia="ru-RU"/>
              </w:rPr>
              <w:t>Цена из соответствующего ИЦИ, в руб. без НДС</w:t>
            </w:r>
          </w:p>
        </w:tc>
        <w:tc>
          <w:tcPr>
            <w:tcW w:w="152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Цена итоговая, в руб. без НДС</w:t>
            </w:r>
          </w:p>
        </w:tc>
        <w:tc>
          <w:tcPr>
            <w:tcW w:w="1879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000000" w:fill="E7E6E6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Комментарии</w:t>
            </w:r>
          </w:p>
        </w:tc>
      </w:tr>
      <w:tr>
        <w:trPr>
          <w:trHeight w:val="1193" w:hRule="atLeast"/>
        </w:trPr>
        <w:tc>
          <w:tcPr>
            <w:tcW w:w="2776" w:type="dxa"/>
            <w:vMerge w:val="restart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>ОКПД2 71.20.12.000 Оказание услуг по продлению срока безопасной эксплуатации зданий и сооружений для нужд структурных подразделений АО "ДГК", расположенных в Хабаровском крае, Приморском крае, Амурской области и Республике Саха (Якутия)</w:t>
            </w:r>
          </w:p>
        </w:tc>
        <w:tc>
          <w:tcPr>
            <w:tcW w:w="238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Arial" w:cs="Arial" w:ascii="Times New Roman" w:hAnsi="Times New Roman"/>
                <w:b w:val="false"/>
                <w:sz w:val="20"/>
                <w:szCs w:val="20"/>
              </w:rPr>
              <w:t>ОБЩЕСТВО С ОГРАНИЧЕННОЙ ОТВЕТСТВЕННОСТЬЮ "ТЕХСТАНДАРТ"</w:t>
            </w:r>
          </w:p>
        </w:tc>
        <w:tc>
          <w:tcPr>
            <w:tcW w:w="158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b w:val="false"/>
                <w:sz w:val="20"/>
              </w:rPr>
            </w:pPr>
            <w:r>
              <w:rPr>
                <w:rFonts w:eastAsia="Arial" w:cs="Arial" w:ascii="Arial" w:hAnsi="Arial"/>
                <w:b w:val="false"/>
                <w:sz w:val="20"/>
              </w:rPr>
              <w:t>34 189 930,00</w:t>
            </w:r>
          </w:p>
        </w:tc>
        <w:tc>
          <w:tcPr>
            <w:tcW w:w="1528" w:type="dxa"/>
            <w:vMerge w:val="restart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34 063 310,00</w:t>
            </w:r>
          </w:p>
        </w:tc>
        <w:tc>
          <w:tcPr>
            <w:tcW w:w="1879" w:type="dxa"/>
            <w:vMerge w:val="restart"/>
            <w:tcBorders>
              <w:top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2"/>
                <w:szCs w:val="22"/>
                <w:highlight w:val="white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highlight w:val="white"/>
                <w:shd w:fill="FFFF99" w:val="clear"/>
                <w:lang w:eastAsia="ru-RU"/>
              </w:rPr>
              <w:t>Принято средне-арифметическое значение</w:t>
            </w:r>
          </w:p>
        </w:tc>
      </w:tr>
      <w:tr>
        <w:trPr>
          <w:trHeight w:val="1081" w:hRule="atLeast"/>
        </w:trPr>
        <w:tc>
          <w:tcPr>
            <w:tcW w:w="2776" w:type="dxa"/>
            <w:vMerge w:val="continue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zCs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zCs w:val="20"/>
                <w:shd w:fill="FFFF99" w:val="clear"/>
                <w:lang w:eastAsia="ru-RU"/>
              </w:rPr>
            </w:r>
          </w:p>
        </w:tc>
        <w:tc>
          <w:tcPr>
            <w:tcW w:w="238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Arial" w:cs="Arial" w:ascii="Times New Roman" w:hAnsi="Times New Roman"/>
                <w:b w:val="false"/>
                <w:sz w:val="20"/>
                <w:szCs w:val="20"/>
              </w:rPr>
              <w:t>ОБЩЕСТВО С ОГРАНИЧЕННОЙ ОТВЕТСТВЕННОСТЬЮ "КонтрольПРО"</w:t>
            </w:r>
          </w:p>
        </w:tc>
        <w:tc>
          <w:tcPr>
            <w:tcW w:w="158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b w:val="false"/>
                <w:sz w:val="20"/>
              </w:rPr>
            </w:pPr>
            <w:r>
              <w:rPr>
                <w:rFonts w:eastAsia="Arial" w:cs="Arial" w:ascii="Arial" w:hAnsi="Arial"/>
                <w:b w:val="false"/>
                <w:sz w:val="20"/>
              </w:rPr>
              <w:t>33 500 000,00</w:t>
            </w:r>
          </w:p>
        </w:tc>
        <w:tc>
          <w:tcPr>
            <w:tcW w:w="1528" w:type="dxa"/>
            <w:vMerge w:val="continue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79" w:type="dxa"/>
            <w:vMerge w:val="continue"/>
            <w:tcBorders>
              <w:top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31" w:hRule="atLeast"/>
        </w:trPr>
        <w:tc>
          <w:tcPr>
            <w:tcW w:w="2776" w:type="dxa"/>
            <w:vMerge w:val="continue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 w:eastAsia="Times New Roman"/>
                <w:i/>
                <w:i/>
                <w:sz w:val="20"/>
                <w:szCs w:val="20"/>
                <w:shd w:fill="FFFF99" w:val="clear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0"/>
                <w:szCs w:val="20"/>
                <w:shd w:fill="FFFF99" w:val="clear"/>
                <w:lang w:eastAsia="ru-RU"/>
              </w:rPr>
            </w:r>
          </w:p>
        </w:tc>
        <w:tc>
          <w:tcPr>
            <w:tcW w:w="238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Arial" w:cs="Arial" w:ascii="Times New Roman" w:hAnsi="Times New Roman"/>
                <w:b w:val="false"/>
                <w:sz w:val="20"/>
                <w:szCs w:val="20"/>
              </w:rPr>
              <w:t>ОБЩЕСТВО С ОГРАНИЧЕННОЙ ОТВЕТСТВЕННОСТЬЮ "Единый Инновационно-Технический центр"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/>
            </w:r>
          </w:p>
        </w:tc>
        <w:tc>
          <w:tcPr>
            <w:tcW w:w="158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b w:val="false"/>
                <w:sz w:val="20"/>
              </w:rPr>
            </w:pPr>
            <w:r>
              <w:rPr>
                <w:rFonts w:eastAsia="Arial" w:cs="Arial" w:ascii="Arial" w:hAnsi="Arial"/>
                <w:b w:val="false"/>
                <w:sz w:val="20"/>
              </w:rPr>
              <w:t>34 500 000,00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b w:val="false"/>
                <w:sz w:val="20"/>
              </w:rPr>
            </w:pPr>
            <w:r>
              <w:rPr>
                <w:rFonts w:eastAsia="Arial" w:cs="Arial" w:ascii="Arial" w:hAnsi="Arial"/>
                <w:b w:val="false"/>
                <w:sz w:val="20"/>
              </w:rPr>
            </w:r>
          </w:p>
        </w:tc>
        <w:tc>
          <w:tcPr>
            <w:tcW w:w="1528" w:type="dxa"/>
            <w:vMerge w:val="continue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79" w:type="dxa"/>
            <w:vMerge w:val="continue"/>
            <w:tcBorders>
              <w:top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spacing w:before="0" w:after="120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spacing w:before="0" w:after="120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spacing w:before="0" w:after="120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sectPr>
      <w:type w:val="nextPage"/>
      <w:pgSz w:w="11906" w:h="16838"/>
      <w:pgMar w:left="1360" w:right="504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Geneva CY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2" w:customStyle="1">
    <w:name w:val="Текст выноски Знак"/>
    <w:basedOn w:val="DefaultParagraphFont"/>
    <w:uiPriority w:val="99"/>
    <w:semiHidden/>
    <w:qFormat/>
    <w:rPr>
      <w:rFonts w:ascii="Segoe UI" w:hAnsi="Segoe UI" w:eastAsia="Geneva" w:cs="Segoe UI"/>
      <w:sz w:val="18"/>
      <w:szCs w:val="18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hanging="0" w:left="720" w:right="72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ind w:hanging="0" w:left="720"/>
    </w:pPr>
    <w:rPr>
      <w:rFonts w:ascii="Times New Roman" w:hAnsi="Times New Roman" w:eastAsia="Times New Roman"/>
      <w:sz w:val="20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Style6">
    <w:name w:val="Содержимое таблицы"/>
    <w:basedOn w:val="Normal"/>
    <w:qFormat/>
    <w:pPr>
      <w:widowControl w:val="false"/>
      <w:suppressLineNumbers/>
    </w:pPr>
    <w:rPr/>
  </w:style>
  <w:style w:type="paragraph" w:styleId="Style7">
    <w:name w:val="Заголовок таблицы"/>
    <w:basedOn w:val="Style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Application>AlterOffice/2026.2.0.0$Linux_X86_64 LibreOffice_project/bc4ef1adf80b36c7a6365f8ed6cbf29021361edd</Application>
  <AppVersion>15.0000</AppVersion>
  <Pages>1</Pages>
  <Words>174</Words>
  <Characters>1176</Characters>
  <CharactersWithSpaces>1318</CharactersWithSpaces>
  <Paragraphs>31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2021-12-23T05:59:00Z</dcterms:created>
  <dc:creator>Анохина Александра Владимировна</dc:creator>
  <dc:description/>
  <dc:language>ru-RU</dc:language>
  <cp:lastModifiedBy>babakhin_gv@DGK.RU</cp:lastModifiedBy>
  <dcterms:modified xsi:type="dcterms:W3CDTF">2026-10-16T11:57:47Z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