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85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Приложение № 3</w:t>
      </w:r>
      <w:r/>
    </w:p>
    <w:p>
      <w:pPr>
        <w:pStyle w:val="58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/>
    </w:p>
    <w:p>
      <w:pPr>
        <w:pStyle w:val="5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Формулировки решений по вопросам повестки дня внеочередного Общего собрания акционеров Общества 27.07.2020</w:t>
      </w:r>
      <w:r>
        <w:rPr>
          <w:rFonts w:ascii="Times New Roman" w:hAnsi="Times New Roman" w:cs="Times New Roman"/>
          <w:iCs/>
          <w:sz w:val="28"/>
          <w:szCs w:val="28"/>
        </w:rPr>
        <w:t xml:space="preserve">, которые должны направляться в электронной форме (в форме электронных документов) номинальным держателям акций,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зарегистрированным в реестре акционеров Общества</w:t>
      </w:r>
      <w:r/>
    </w:p>
    <w:p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/>
    </w:p>
    <w:p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Решение по вопросу №1:</w:t>
      </w:r>
      <w:r>
        <w:rPr>
          <w:sz w:val="28"/>
          <w:szCs w:val="28"/>
        </w:rPr>
        <w:t xml:space="preserve"> </w:t>
      </w:r>
      <w:r/>
    </w:p>
    <w:p>
      <w:pPr>
        <w:ind w:firstLine="709"/>
        <w:jc w:val="both"/>
        <w:keepLines/>
        <w:keepNext/>
        <w:spacing w:lineRule="auto" w:line="240" w:after="0" w:before="12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Определить, что </w:t>
      </w:r>
      <w:r>
        <w:rPr>
          <w:rFonts w:ascii="Times New Roman" w:hAnsi="Times New Roman"/>
          <w:sz w:val="28"/>
          <w:szCs w:val="28"/>
        </w:rPr>
        <w:t xml:space="preserve">АО «ДГК»</w:t>
      </w:r>
      <w:r>
        <w:rPr>
          <w:rFonts w:ascii="Times New Roman" w:hAnsi="Times New Roman"/>
          <w:sz w:val="28"/>
          <w:szCs w:val="28"/>
        </w:rPr>
        <w:t xml:space="preserve"> вправе дополнительно разместить </w:t>
      </w:r>
      <w:r>
        <w:rPr>
          <w:rFonts w:ascii="Times New Roman" w:hAnsi="Times New Roman"/>
          <w:sz w:val="28"/>
          <w:szCs w:val="28"/>
        </w:rPr>
        <w:t xml:space="preserve">125 717 632 999 200 000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обыкновенных </w:t>
      </w:r>
      <w:r>
        <w:rPr>
          <w:rFonts w:ascii="Times New Roman" w:hAnsi="Times New Roman"/>
          <w:sz w:val="28"/>
          <w:szCs w:val="28"/>
        </w:rPr>
        <w:t xml:space="preserve">акций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номинальной стоимостью </w:t>
      </w:r>
      <w:r>
        <w:rPr>
          <w:rFonts w:ascii="Times New Roman" w:hAnsi="Times New Roman"/>
          <w:sz w:val="28"/>
          <w:szCs w:val="28"/>
        </w:rPr>
        <w:t xml:space="preserve">0,000000322150513287645 рубля каждая </w:t>
      </w:r>
      <w:r>
        <w:rPr>
          <w:rFonts w:ascii="Times New Roman" w:hAnsi="Times New Roman"/>
          <w:sz w:val="28"/>
          <w:szCs w:val="28"/>
        </w:rPr>
        <w:t xml:space="preserve">(объявленные акции). 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keepLines/>
        <w:keepNext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Объявленные </w:t>
      </w:r>
      <w:r>
        <w:rPr>
          <w:rFonts w:ascii="Times New Roman" w:hAnsi="Times New Roman"/>
          <w:sz w:val="28"/>
          <w:szCs w:val="28"/>
        </w:rPr>
        <w:t xml:space="preserve">именные </w:t>
      </w:r>
      <w:r>
        <w:rPr>
          <w:rFonts w:ascii="Times New Roman" w:hAnsi="Times New Roman"/>
          <w:sz w:val="28"/>
          <w:szCs w:val="28"/>
        </w:rPr>
        <w:t xml:space="preserve">акции предоставляют </w:t>
      </w:r>
      <w:r>
        <w:rPr>
          <w:rFonts w:ascii="Times New Roman" w:hAnsi="Times New Roman"/>
          <w:sz w:val="28"/>
          <w:szCs w:val="28"/>
        </w:rPr>
        <w:t xml:space="preserve">их владельцам права, предусмотренные пунктом 5.2. Устава АО «</w:t>
      </w:r>
      <w:r>
        <w:rPr>
          <w:rFonts w:ascii="Times New Roman" w:hAnsi="Times New Roman"/>
          <w:sz w:val="28"/>
          <w:szCs w:val="28"/>
        </w:rPr>
        <w:t xml:space="preserve">ДГК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</w:rPr>
      </w:pPr>
      <w:r>
        <w:rPr>
          <w:sz w:val="28"/>
          <w:szCs w:val="28"/>
          <w:shd w:val="clear" w:color="auto" w:fill="FFFFFF"/>
        </w:rPr>
        <w:t xml:space="preserve">Решение по вопросу №2: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ind w:left="709"/>
        <w:jc w:val="both"/>
        <w:keepLines/>
        <w:keepNext/>
        <w:spacing w:lineRule="auto" w:line="240" w:after="0" w:before="12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Дополнить статью 4 Устава АО «ДГК» пунктом 4.5. следующего содержан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я: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keepLines/>
        <w:keepNext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Общество объявляет дополнительно к размещенным акциям </w:t>
      </w:r>
      <w:r>
        <w:rPr>
          <w:rFonts w:ascii="Times New Roman" w:hAnsi="Times New Roman"/>
          <w:sz w:val="28"/>
          <w:szCs w:val="28"/>
        </w:rPr>
        <w:t xml:space="preserve">125 717 632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999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200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000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обыкновенных акций</w:t>
      </w:r>
      <w:r>
        <w:rPr>
          <w:rFonts w:ascii="Times New Roman" w:hAnsi="Times New Roman"/>
          <w:sz w:val="28"/>
          <w:szCs w:val="28"/>
        </w:rPr>
        <w:t xml:space="preserve">, номинальной стоимостью</w:t>
      </w:r>
      <w:r>
        <w:rPr>
          <w:rFonts w:ascii="Times New Roman" w:hAnsi="Times New Roman"/>
          <w:sz w:val="28"/>
          <w:szCs w:val="28"/>
        </w:rPr>
        <w:t xml:space="preserve"> 0,000000322150513287645 рубля каждая </w:t>
      </w:r>
      <w:r>
        <w:rPr>
          <w:rFonts w:ascii="Times New Roman" w:hAnsi="Times New Roman"/>
          <w:sz w:val="28"/>
          <w:szCs w:val="28"/>
        </w:rPr>
        <w:t xml:space="preserve">(объявленные акции). 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keepLines/>
        <w:keepNext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Объявленные акции предоставляют их владельцам права, предусмотренные пунктом 5.2.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sz w:val="28"/>
          <w:szCs w:val="28"/>
        </w:rPr>
        <w:t xml:space="preserve">Устава.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rPr>
          <w:sz w:val="28"/>
        </w:rPr>
      </w:pPr>
      <w:r>
        <w:rPr>
          <w:sz w:val="28"/>
          <w:szCs w:val="28"/>
          <w:shd w:val="clear" w:color="auto" w:fill="FFFFFF"/>
        </w:rPr>
        <w:t xml:space="preserve">Решение по вопросу №3: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Увеличить уставный капитал АО «</w:t>
      </w:r>
      <w:r>
        <w:rPr>
          <w:rFonts w:ascii="Times New Roman" w:hAnsi="Times New Roman"/>
          <w:sz w:val="28"/>
          <w:szCs w:val="28"/>
        </w:rPr>
        <w:t xml:space="preserve">ДГК</w:t>
      </w:r>
      <w:r>
        <w:rPr>
          <w:rFonts w:ascii="Times New Roman" w:hAnsi="Times New Roman"/>
          <w:sz w:val="28"/>
          <w:szCs w:val="28"/>
        </w:rPr>
        <w:t xml:space="preserve">» путем размещения дополнительных обыкновенных акций в количестве 125 717 632 999 200 000 штук;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keepLines/>
        <w:keepNext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Способ размещения дополнительных </w:t>
      </w:r>
      <w:r>
        <w:rPr>
          <w:rFonts w:ascii="Times New Roman" w:hAnsi="Times New Roman"/>
          <w:sz w:val="28"/>
          <w:szCs w:val="28"/>
        </w:rPr>
        <w:t xml:space="preserve">обыкновенных </w:t>
      </w:r>
      <w:r>
        <w:rPr>
          <w:rFonts w:ascii="Times New Roman" w:hAnsi="Times New Roman"/>
          <w:sz w:val="28"/>
          <w:szCs w:val="28"/>
        </w:rPr>
        <w:t xml:space="preserve">акций: закрытая подписка;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Учитывая, что рыночная стоимость 1 </w:t>
      </w:r>
      <w:r>
        <w:rPr>
          <w:rFonts w:ascii="Times New Roman" w:hAnsi="Times New Roman"/>
          <w:sz w:val="28"/>
          <w:szCs w:val="28"/>
        </w:rPr>
        <w:t xml:space="preserve">обыкновенной </w:t>
      </w:r>
      <w:r>
        <w:rPr>
          <w:rFonts w:ascii="Times New Roman" w:hAnsi="Times New Roman"/>
          <w:sz w:val="28"/>
          <w:szCs w:val="28"/>
        </w:rPr>
        <w:t xml:space="preserve">акции АО «</w:t>
      </w:r>
      <w:r>
        <w:rPr>
          <w:rFonts w:ascii="Times New Roman" w:hAnsi="Times New Roman"/>
          <w:sz w:val="28"/>
          <w:szCs w:val="28"/>
        </w:rPr>
        <w:t xml:space="preserve">ДГК</w:t>
      </w:r>
      <w:r>
        <w:rPr>
          <w:rFonts w:ascii="Times New Roman" w:hAnsi="Times New Roman"/>
          <w:sz w:val="28"/>
          <w:szCs w:val="28"/>
        </w:rPr>
        <w:t xml:space="preserve">», определенная независимым оценщиком, ниже номинальной стоимости 1</w:t>
      </w:r>
      <w:r>
        <w:rPr>
          <w:rFonts w:ascii="Times New Roman" w:hAnsi="Times New Roman"/>
          <w:sz w:val="28"/>
          <w:szCs w:val="28"/>
        </w:rPr>
        <w:t xml:space="preserve"> обыкновенной </w:t>
      </w:r>
      <w:r>
        <w:rPr>
          <w:rFonts w:ascii="Times New Roman" w:hAnsi="Times New Roman"/>
          <w:sz w:val="28"/>
          <w:szCs w:val="28"/>
        </w:rPr>
        <w:t xml:space="preserve">акции, на основании </w:t>
      </w:r>
      <w:r>
        <w:rPr>
          <w:rFonts w:ascii="Times New Roman" w:hAnsi="Times New Roman"/>
          <w:sz w:val="28"/>
          <w:szCs w:val="28"/>
        </w:rPr>
        <w:t xml:space="preserve">абз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п.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ст.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36 </w:t>
      </w:r>
      <w:r>
        <w:rPr>
          <w:rFonts w:ascii="Times New Roman" w:hAnsi="Times New Roman"/>
          <w:sz w:val="28"/>
          <w:szCs w:val="28"/>
        </w:rPr>
        <w:t xml:space="preserve">Федерального закона от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26.</w:t>
      </w:r>
      <w:r>
        <w:rPr>
          <w:rFonts w:ascii="Times New Roman" w:hAnsi="Times New Roman"/>
          <w:sz w:val="28"/>
          <w:szCs w:val="28"/>
        </w:rPr>
        <w:t xml:space="preserve">12.1995 № 208-ФЗ </w:t>
      </w:r>
      <w:r>
        <w:rPr>
          <w:rFonts w:ascii="Times New Roman" w:hAnsi="Times New Roman"/>
          <w:sz w:val="28"/>
          <w:szCs w:val="28"/>
        </w:rPr>
        <w:t xml:space="preserve">«Об акционерных обществах» </w:t>
      </w:r>
      <w:r>
        <w:rPr>
          <w:rFonts w:ascii="Times New Roman" w:hAnsi="Times New Roman"/>
          <w:sz w:val="28"/>
          <w:szCs w:val="28"/>
        </w:rPr>
        <w:t xml:space="preserve">определить цену размещения 1 дополнительной </w:t>
      </w:r>
      <w:r>
        <w:rPr>
          <w:rFonts w:ascii="Times New Roman" w:hAnsi="Times New Roman"/>
          <w:sz w:val="28"/>
          <w:szCs w:val="28"/>
        </w:rPr>
        <w:t xml:space="preserve">обыкновенной </w:t>
      </w:r>
      <w:r>
        <w:rPr>
          <w:rFonts w:ascii="Times New Roman" w:hAnsi="Times New Roman"/>
          <w:sz w:val="28"/>
          <w:szCs w:val="28"/>
        </w:rPr>
        <w:t xml:space="preserve">акции, в том числе при осуществлении преимущественного права приобретения размещаемых дополнительных </w:t>
      </w:r>
      <w:r>
        <w:rPr>
          <w:rFonts w:ascii="Times New Roman" w:hAnsi="Times New Roman"/>
          <w:sz w:val="28"/>
          <w:szCs w:val="28"/>
        </w:rPr>
        <w:t xml:space="preserve">обыкновенных </w:t>
      </w:r>
      <w:r>
        <w:rPr>
          <w:rFonts w:ascii="Times New Roman" w:hAnsi="Times New Roman"/>
          <w:sz w:val="28"/>
          <w:szCs w:val="28"/>
        </w:rPr>
        <w:t xml:space="preserve">акций в размере номинальной стоимости 1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акции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0,000000322150513287645 рубля;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keepLines/>
        <w:keepNext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Круг лиц, среди которых предполагается разместить дополнительные </w:t>
      </w:r>
      <w:r>
        <w:rPr>
          <w:rFonts w:ascii="Times New Roman" w:hAnsi="Times New Roman"/>
          <w:sz w:val="28"/>
          <w:szCs w:val="28"/>
        </w:rPr>
        <w:t xml:space="preserve">обыкновенные </w:t>
      </w:r>
      <w:r>
        <w:rPr>
          <w:rFonts w:ascii="Times New Roman" w:hAnsi="Times New Roman"/>
          <w:sz w:val="28"/>
          <w:szCs w:val="28"/>
        </w:rPr>
        <w:t xml:space="preserve">акции: Публичное акционерное общество «Федеральная гидрогенерирующая компания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РусГидро» (</w:t>
      </w:r>
      <w:r>
        <w:rPr>
          <w:rFonts w:ascii="Times New Roman" w:hAnsi="Times New Roman"/>
          <w:sz w:val="28"/>
          <w:szCs w:val="28"/>
        </w:rPr>
        <w:t xml:space="preserve">ОГРН</w:t>
      </w:r>
      <w:r>
        <w:rPr>
          <w:rFonts w:ascii="Times New Roman" w:hAnsi="Times New Roman"/>
          <w:sz w:val="28"/>
          <w:szCs w:val="28"/>
        </w:rPr>
        <w:t xml:space="preserve"> 1042401810494);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Форма оплаты дополнительных </w:t>
      </w:r>
      <w:r>
        <w:rPr>
          <w:rFonts w:ascii="Times New Roman" w:hAnsi="Times New Roman"/>
          <w:sz w:val="28"/>
          <w:szCs w:val="28"/>
        </w:rPr>
        <w:t xml:space="preserve">обыкновенных </w:t>
      </w:r>
      <w:r>
        <w:rPr>
          <w:rFonts w:ascii="Times New Roman" w:hAnsi="Times New Roman"/>
          <w:sz w:val="28"/>
          <w:szCs w:val="28"/>
        </w:rPr>
        <w:t xml:space="preserve">акций: </w:t>
      </w:r>
      <w:r>
        <w:rPr>
          <w:rFonts w:ascii="Times New Roman" w:hAnsi="Times New Roman"/>
          <w:sz w:val="28"/>
          <w:szCs w:val="28"/>
        </w:rPr>
        <w:t xml:space="preserve">денежны</w:t>
      </w:r>
      <w:r>
        <w:rPr>
          <w:rFonts w:ascii="Times New Roman" w:hAnsi="Times New Roman"/>
          <w:sz w:val="28"/>
          <w:szCs w:val="28"/>
        </w:rPr>
        <w:t xml:space="preserve">ми</w:t>
      </w:r>
      <w:r>
        <w:rPr>
          <w:rFonts w:ascii="Times New Roman" w:hAnsi="Times New Roman"/>
          <w:sz w:val="28"/>
          <w:szCs w:val="28"/>
        </w:rPr>
        <w:t xml:space="preserve"> средства</w:t>
      </w:r>
      <w:r>
        <w:rPr>
          <w:rFonts w:ascii="Times New Roman" w:hAnsi="Times New Roman"/>
          <w:sz w:val="28"/>
          <w:szCs w:val="28"/>
        </w:rPr>
        <w:t xml:space="preserve">ми</w:t>
      </w:r>
      <w:r>
        <w:rPr>
          <w:rFonts w:ascii="Times New Roman" w:hAnsi="Times New Roman"/>
          <w:sz w:val="28"/>
          <w:szCs w:val="28"/>
        </w:rPr>
        <w:t xml:space="preserve"> в рублях Российской Федерации 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путем зачета денежных требований к </w:t>
      </w:r>
      <w:r>
        <w:rPr>
          <w:rFonts w:ascii="Times New Roman" w:hAnsi="Times New Roman"/>
          <w:sz w:val="28"/>
          <w:szCs w:val="28"/>
        </w:rPr>
        <w:t xml:space="preserve">АО «</w:t>
      </w:r>
      <w:r>
        <w:rPr>
          <w:rFonts w:ascii="Times New Roman" w:hAnsi="Times New Roman"/>
          <w:sz w:val="28"/>
          <w:szCs w:val="28"/>
        </w:rPr>
        <w:t xml:space="preserve">ДГК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592"/>
        <w:ind w:left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sectPr>
      <w:footnotePr/>
      <w:type w:val="nextPage"/>
      <w:pgSz w:w="11906" w:h="16838" w:orient="portrait"/>
      <w:pgMar w:top="567" w:right="851" w:bottom="567" w:left="1134" w:header="709" w:footer="709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8" w:hanging="360"/>
      </w:pPr>
      <w:rPr>
        <w:rFonts w:hint="default"/>
        <w:b/>
        <w:i/>
        <w:color w:val="auto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pStyle w:val="588"/>
      <w:isLgl w:val="false"/>
      <w:suff w:val="tab"/>
      <w:lvlText w:val="%1."/>
      <w:lvlJc w:val="left"/>
      <w:pPr>
        <w:ind w:left="0" w:firstLine="567"/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</w:pPr>
    </w:lvl>
    <w:lvl w:ilvl="5">
      <w:start w:val="1"/>
      <w:numFmt w:val="none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ascii="Times New Roman" w:hAnsi="Times New Roman" w:cs="Times New Roman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5" w:hanging="64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936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6096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3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5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7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9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1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3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5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7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93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63" w:hanging="45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19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1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3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5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7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9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1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33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10">
    <w:name w:val="Heading 1 Char"/>
    <w:basedOn w:val="582"/>
    <w:link w:val="580"/>
    <w:uiPriority w:val="9"/>
    <w:rPr>
      <w:rFonts w:ascii="Arial" w:hAnsi="Arial" w:cs="Arial" w:eastAsia="Arial"/>
      <w:sz w:val="40"/>
      <w:szCs w:val="40"/>
    </w:rPr>
  </w:style>
  <w:style w:type="paragraph" w:styleId="411">
    <w:name w:val="Heading 2"/>
    <w:basedOn w:val="579"/>
    <w:next w:val="579"/>
    <w:link w:val="4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12">
    <w:name w:val="Heading 2 Char"/>
    <w:basedOn w:val="582"/>
    <w:link w:val="411"/>
    <w:uiPriority w:val="9"/>
    <w:rPr>
      <w:rFonts w:ascii="Arial" w:hAnsi="Arial" w:cs="Arial" w:eastAsia="Arial"/>
      <w:sz w:val="34"/>
    </w:rPr>
  </w:style>
  <w:style w:type="paragraph" w:styleId="413">
    <w:name w:val="Heading 3"/>
    <w:basedOn w:val="579"/>
    <w:next w:val="579"/>
    <w:link w:val="4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14">
    <w:name w:val="Heading 3 Char"/>
    <w:basedOn w:val="582"/>
    <w:link w:val="413"/>
    <w:uiPriority w:val="9"/>
    <w:rPr>
      <w:rFonts w:ascii="Arial" w:hAnsi="Arial" w:cs="Arial" w:eastAsia="Arial"/>
      <w:sz w:val="30"/>
      <w:szCs w:val="30"/>
    </w:rPr>
  </w:style>
  <w:style w:type="paragraph" w:styleId="415">
    <w:name w:val="Heading 4"/>
    <w:basedOn w:val="579"/>
    <w:next w:val="579"/>
    <w:link w:val="4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16">
    <w:name w:val="Heading 4 Char"/>
    <w:basedOn w:val="582"/>
    <w:link w:val="415"/>
    <w:uiPriority w:val="9"/>
    <w:rPr>
      <w:rFonts w:ascii="Arial" w:hAnsi="Arial" w:cs="Arial" w:eastAsia="Arial"/>
      <w:b/>
      <w:bCs/>
      <w:sz w:val="26"/>
      <w:szCs w:val="26"/>
    </w:rPr>
  </w:style>
  <w:style w:type="paragraph" w:styleId="417">
    <w:name w:val="Heading 5"/>
    <w:basedOn w:val="579"/>
    <w:next w:val="579"/>
    <w:link w:val="4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8">
    <w:name w:val="Heading 5 Char"/>
    <w:basedOn w:val="582"/>
    <w:link w:val="417"/>
    <w:uiPriority w:val="9"/>
    <w:rPr>
      <w:rFonts w:ascii="Arial" w:hAnsi="Arial" w:cs="Arial" w:eastAsia="Arial"/>
      <w:b/>
      <w:bCs/>
      <w:sz w:val="24"/>
      <w:szCs w:val="24"/>
    </w:rPr>
  </w:style>
  <w:style w:type="paragraph" w:styleId="419">
    <w:name w:val="Heading 6"/>
    <w:basedOn w:val="579"/>
    <w:next w:val="579"/>
    <w:link w:val="4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20">
    <w:name w:val="Heading 6 Char"/>
    <w:basedOn w:val="582"/>
    <w:link w:val="419"/>
    <w:uiPriority w:val="9"/>
    <w:rPr>
      <w:rFonts w:ascii="Arial" w:hAnsi="Arial" w:cs="Arial" w:eastAsia="Arial"/>
      <w:b/>
      <w:bCs/>
      <w:sz w:val="22"/>
      <w:szCs w:val="22"/>
    </w:rPr>
  </w:style>
  <w:style w:type="paragraph" w:styleId="421">
    <w:name w:val="Heading 7"/>
    <w:basedOn w:val="579"/>
    <w:next w:val="579"/>
    <w:link w:val="4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2">
    <w:name w:val="Heading 7 Char"/>
    <w:basedOn w:val="582"/>
    <w:link w:val="4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23">
    <w:name w:val="Heading 8 Char"/>
    <w:basedOn w:val="582"/>
    <w:link w:val="581"/>
    <w:uiPriority w:val="9"/>
    <w:rPr>
      <w:rFonts w:ascii="Arial" w:hAnsi="Arial" w:cs="Arial" w:eastAsia="Arial"/>
      <w:i/>
      <w:iCs/>
      <w:sz w:val="22"/>
      <w:szCs w:val="22"/>
    </w:rPr>
  </w:style>
  <w:style w:type="paragraph" w:styleId="424">
    <w:name w:val="Heading 9"/>
    <w:basedOn w:val="579"/>
    <w:next w:val="579"/>
    <w:link w:val="42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5">
    <w:name w:val="Heading 9 Char"/>
    <w:basedOn w:val="582"/>
    <w:link w:val="424"/>
    <w:uiPriority w:val="9"/>
    <w:rPr>
      <w:rFonts w:ascii="Arial" w:hAnsi="Arial" w:cs="Arial" w:eastAsia="Arial"/>
      <w:i/>
      <w:iCs/>
      <w:sz w:val="21"/>
      <w:szCs w:val="21"/>
    </w:rPr>
  </w:style>
  <w:style w:type="paragraph" w:styleId="426">
    <w:name w:val="Title"/>
    <w:basedOn w:val="579"/>
    <w:next w:val="579"/>
    <w:link w:val="4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7">
    <w:name w:val="Title Char"/>
    <w:basedOn w:val="582"/>
    <w:link w:val="426"/>
    <w:uiPriority w:val="10"/>
    <w:rPr>
      <w:sz w:val="48"/>
      <w:szCs w:val="48"/>
    </w:rPr>
  </w:style>
  <w:style w:type="paragraph" w:styleId="428">
    <w:name w:val="Subtitle"/>
    <w:basedOn w:val="579"/>
    <w:next w:val="579"/>
    <w:link w:val="429"/>
    <w:qFormat/>
    <w:uiPriority w:val="11"/>
    <w:rPr>
      <w:sz w:val="24"/>
      <w:szCs w:val="24"/>
    </w:rPr>
    <w:pPr>
      <w:spacing w:after="200" w:before="200"/>
    </w:pPr>
  </w:style>
  <w:style w:type="character" w:styleId="429">
    <w:name w:val="Subtitle Char"/>
    <w:basedOn w:val="582"/>
    <w:link w:val="428"/>
    <w:uiPriority w:val="11"/>
    <w:rPr>
      <w:sz w:val="24"/>
      <w:szCs w:val="24"/>
    </w:rPr>
  </w:style>
  <w:style w:type="paragraph" w:styleId="430">
    <w:name w:val="Quote"/>
    <w:basedOn w:val="579"/>
    <w:next w:val="579"/>
    <w:link w:val="431"/>
    <w:qFormat/>
    <w:uiPriority w:val="29"/>
    <w:rPr>
      <w:i/>
    </w:rPr>
    <w:pPr>
      <w:ind w:left="720" w:right="720"/>
    </w:pPr>
  </w:style>
  <w:style w:type="character" w:styleId="431">
    <w:name w:val="Quote Char"/>
    <w:link w:val="430"/>
    <w:uiPriority w:val="29"/>
    <w:rPr>
      <w:i/>
    </w:rPr>
  </w:style>
  <w:style w:type="paragraph" w:styleId="432">
    <w:name w:val="Intense Quote"/>
    <w:basedOn w:val="579"/>
    <w:next w:val="579"/>
    <w:link w:val="43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3">
    <w:name w:val="Intense Quote Char"/>
    <w:link w:val="432"/>
    <w:uiPriority w:val="30"/>
    <w:rPr>
      <w:i/>
    </w:rPr>
  </w:style>
  <w:style w:type="paragraph" w:styleId="434">
    <w:name w:val="Header"/>
    <w:basedOn w:val="579"/>
    <w:link w:val="4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5">
    <w:name w:val="Header Char"/>
    <w:basedOn w:val="582"/>
    <w:link w:val="434"/>
    <w:uiPriority w:val="99"/>
  </w:style>
  <w:style w:type="paragraph" w:styleId="436">
    <w:name w:val="Footer"/>
    <w:basedOn w:val="579"/>
    <w:link w:val="4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7">
    <w:name w:val="Footer Char"/>
    <w:basedOn w:val="582"/>
    <w:link w:val="436"/>
    <w:uiPriority w:val="99"/>
  </w:style>
  <w:style w:type="paragraph" w:styleId="438">
    <w:name w:val="Caption"/>
    <w:basedOn w:val="579"/>
    <w:next w:val="579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9">
    <w:name w:val="Caption Char"/>
    <w:basedOn w:val="438"/>
    <w:link w:val="436"/>
    <w:uiPriority w:val="99"/>
  </w:style>
  <w:style w:type="table" w:styleId="440">
    <w:name w:val="Table Grid Light"/>
    <w:basedOn w:val="58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1">
    <w:name w:val="Plain Table 1"/>
    <w:basedOn w:val="58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2">
    <w:name w:val="Plain Table 2"/>
    <w:basedOn w:val="58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3">
    <w:name w:val="Plain Table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4">
    <w:name w:val="Plain Table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Plain Table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6">
    <w:name w:val="Grid Table 1 Light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1 Light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1">
    <w:name w:val="Grid Table 1 Light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Grid Table 1 Light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>
    <w:name w:val="Grid Table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2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2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2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3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3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4"/>
    <w:basedOn w:val="58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8">
    <w:name w:val="Grid Table 4 - Accent 1"/>
    <w:basedOn w:val="58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9">
    <w:name w:val="Grid Table 4 - Accent 2"/>
    <w:basedOn w:val="58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0">
    <w:name w:val="Grid Table 4 - Accent 3"/>
    <w:basedOn w:val="58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1">
    <w:name w:val="Grid Table 4 - Accent 4"/>
    <w:basedOn w:val="58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2">
    <w:name w:val="Grid Table 4 - Accent 5"/>
    <w:basedOn w:val="58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3">
    <w:name w:val="Grid Table 4 - Accent 6"/>
    <w:basedOn w:val="58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4">
    <w:name w:val="Grid Table 5 Dark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8">
    <w:name w:val="Grid Table 5 Dark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9">
    <w:name w:val="Grid Table 5 Dark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0">
    <w:name w:val="Grid Table 5 Dark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1">
    <w:name w:val="Grid Table 6 Colorful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2">
    <w:name w:val="Grid Table 6 Colorful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3">
    <w:name w:val="Grid Table 6 Colorful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4">
    <w:name w:val="Grid Table 6 Colorful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5">
    <w:name w:val="Grid Table 6 Colorful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6">
    <w:name w:val="Grid Table 6 Colorful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7">
    <w:name w:val="Grid Table 6 Colorful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8">
    <w:name w:val="Grid Table 7 Colorful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7 Colorful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7 Colorful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7 Colorful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1 Light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List Table 1 Light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3">
    <w:name w:val="List Table 2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4">
    <w:name w:val="List Table 2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5">
    <w:name w:val="List Table 2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6">
    <w:name w:val="List Table 2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7">
    <w:name w:val="List Table 2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8">
    <w:name w:val="List Table 2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9">
    <w:name w:val="List Table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3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3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3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4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4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5 Dark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5 Dark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8">
    <w:name w:val="List Table 5 Dark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9">
    <w:name w:val="List Table 5 Dark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0">
    <w:name w:val="List Table 6 Colorful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1">
    <w:name w:val="List Table 6 Colorful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2">
    <w:name w:val="List Table 6 Colorful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List Table 6 Colorful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4">
    <w:name w:val="List Table 6 Colorful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List Table 6 Colorful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6">
    <w:name w:val="List Table 6 Colorful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7">
    <w:name w:val="List Table 7 Colorful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8">
    <w:name w:val="List Table 7 Colorful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9">
    <w:name w:val="List Table 7 Colorful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0">
    <w:name w:val="List Table 7 Colorful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1">
    <w:name w:val="List Table 7 Colorful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42">
    <w:name w:val="List Table 7 Colorful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3">
    <w:name w:val="List Table 7 Colorful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4">
    <w:name w:val="Lined - Accent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5">
    <w:name w:val="Lined - Accent 1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6">
    <w:name w:val="Lined - Accent 2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7">
    <w:name w:val="Lined - Accent 3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8">
    <w:name w:val="Lined - Accent 4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9">
    <w:name w:val="Lined - Accent 5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0">
    <w:name w:val="Lined - Accent 6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1">
    <w:name w:val="Bordered &amp; Lined - Accent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2">
    <w:name w:val="Bordered &amp; Lined - Accent 1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3">
    <w:name w:val="Bordered &amp; Lined - Accent 2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4">
    <w:name w:val="Bordered &amp; Lined - Accent 3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5">
    <w:name w:val="Bordered &amp; Lined - Accent 4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6">
    <w:name w:val="Bordered &amp; Lined - Accent 5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7">
    <w:name w:val="Bordered &amp; Lined - Accent 6"/>
    <w:basedOn w:val="58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8">
    <w:name w:val="Bordered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9">
    <w:name w:val="Bordered - Accent 1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0">
    <w:name w:val="Bordered - Accent 2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1">
    <w:name w:val="Bordered - Accent 3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2">
    <w:name w:val="Bordered - Accent 4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3">
    <w:name w:val="Bordered - Accent 5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4">
    <w:name w:val="Bordered - Accent 6"/>
    <w:basedOn w:val="58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5">
    <w:name w:val="Hyperlink"/>
    <w:uiPriority w:val="99"/>
    <w:unhideWhenUsed/>
    <w:rPr>
      <w:color w:val="0000FF" w:themeColor="hyperlink"/>
      <w:u w:val="single"/>
    </w:rPr>
  </w:style>
  <w:style w:type="paragraph" w:styleId="566">
    <w:name w:val="footnote text"/>
    <w:basedOn w:val="579"/>
    <w:link w:val="567"/>
    <w:uiPriority w:val="99"/>
    <w:semiHidden/>
    <w:unhideWhenUsed/>
    <w:rPr>
      <w:sz w:val="18"/>
    </w:rPr>
    <w:pPr>
      <w:spacing w:lineRule="auto" w:line="240" w:after="40"/>
    </w:pPr>
  </w:style>
  <w:style w:type="character" w:styleId="567">
    <w:name w:val="Footnote Text Char"/>
    <w:link w:val="566"/>
    <w:uiPriority w:val="99"/>
    <w:rPr>
      <w:sz w:val="18"/>
    </w:rPr>
  </w:style>
  <w:style w:type="character" w:styleId="568">
    <w:name w:val="footnote reference"/>
    <w:basedOn w:val="582"/>
    <w:uiPriority w:val="99"/>
    <w:unhideWhenUsed/>
    <w:rPr>
      <w:vertAlign w:val="superscript"/>
    </w:rPr>
  </w:style>
  <w:style w:type="paragraph" w:styleId="569">
    <w:name w:val="toc 1"/>
    <w:basedOn w:val="579"/>
    <w:next w:val="579"/>
    <w:uiPriority w:val="39"/>
    <w:unhideWhenUsed/>
    <w:pPr>
      <w:ind w:left="0" w:right="0" w:firstLine="0"/>
      <w:spacing w:after="57"/>
    </w:pPr>
  </w:style>
  <w:style w:type="paragraph" w:styleId="570">
    <w:name w:val="toc 2"/>
    <w:basedOn w:val="579"/>
    <w:next w:val="579"/>
    <w:uiPriority w:val="39"/>
    <w:unhideWhenUsed/>
    <w:pPr>
      <w:ind w:left="283" w:right="0" w:firstLine="0"/>
      <w:spacing w:after="57"/>
    </w:pPr>
  </w:style>
  <w:style w:type="paragraph" w:styleId="571">
    <w:name w:val="toc 3"/>
    <w:basedOn w:val="579"/>
    <w:next w:val="579"/>
    <w:uiPriority w:val="39"/>
    <w:unhideWhenUsed/>
    <w:pPr>
      <w:ind w:left="567" w:right="0" w:firstLine="0"/>
      <w:spacing w:after="57"/>
    </w:pPr>
  </w:style>
  <w:style w:type="paragraph" w:styleId="572">
    <w:name w:val="toc 4"/>
    <w:basedOn w:val="579"/>
    <w:next w:val="579"/>
    <w:uiPriority w:val="39"/>
    <w:unhideWhenUsed/>
    <w:pPr>
      <w:ind w:left="850" w:right="0" w:firstLine="0"/>
      <w:spacing w:after="57"/>
    </w:pPr>
  </w:style>
  <w:style w:type="paragraph" w:styleId="573">
    <w:name w:val="toc 5"/>
    <w:basedOn w:val="579"/>
    <w:next w:val="579"/>
    <w:uiPriority w:val="39"/>
    <w:unhideWhenUsed/>
    <w:pPr>
      <w:ind w:left="1134" w:right="0" w:firstLine="0"/>
      <w:spacing w:after="57"/>
    </w:pPr>
  </w:style>
  <w:style w:type="paragraph" w:styleId="574">
    <w:name w:val="toc 6"/>
    <w:basedOn w:val="579"/>
    <w:next w:val="579"/>
    <w:uiPriority w:val="39"/>
    <w:unhideWhenUsed/>
    <w:pPr>
      <w:ind w:left="1417" w:right="0" w:firstLine="0"/>
      <w:spacing w:after="57"/>
    </w:pPr>
  </w:style>
  <w:style w:type="paragraph" w:styleId="575">
    <w:name w:val="toc 7"/>
    <w:basedOn w:val="579"/>
    <w:next w:val="579"/>
    <w:uiPriority w:val="39"/>
    <w:unhideWhenUsed/>
    <w:pPr>
      <w:ind w:left="1701" w:right="0" w:firstLine="0"/>
      <w:spacing w:after="57"/>
    </w:pPr>
  </w:style>
  <w:style w:type="paragraph" w:styleId="576">
    <w:name w:val="toc 8"/>
    <w:basedOn w:val="579"/>
    <w:next w:val="579"/>
    <w:uiPriority w:val="39"/>
    <w:unhideWhenUsed/>
    <w:pPr>
      <w:ind w:left="1984" w:right="0" w:firstLine="0"/>
      <w:spacing w:after="57"/>
    </w:pPr>
  </w:style>
  <w:style w:type="paragraph" w:styleId="577">
    <w:name w:val="toc 9"/>
    <w:basedOn w:val="579"/>
    <w:next w:val="579"/>
    <w:uiPriority w:val="39"/>
    <w:unhideWhenUsed/>
    <w:pPr>
      <w:ind w:left="2268" w:right="0" w:firstLine="0"/>
      <w:spacing w:after="57"/>
    </w:pPr>
  </w:style>
  <w:style w:type="paragraph" w:styleId="578">
    <w:name w:val="TOC Heading"/>
    <w:uiPriority w:val="39"/>
    <w:unhideWhenUsed/>
  </w:style>
  <w:style w:type="paragraph" w:styleId="579" w:default="1">
    <w:name w:val="Normal"/>
    <w:qFormat/>
    <w:rPr>
      <w:rFonts w:ascii="Times New Roman" w:hAnsi="Times New Roman" w:cs="Times New Roman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580">
    <w:name w:val="Heading 1"/>
    <w:basedOn w:val="579"/>
    <w:next w:val="579"/>
    <w:link w:val="586"/>
    <w:qFormat/>
    <w:rPr>
      <w:b/>
    </w:rPr>
    <w:pPr>
      <w:jc w:val="center"/>
      <w:keepNext/>
      <w:widowControl/>
      <w:outlineLvl w:val="0"/>
    </w:pPr>
  </w:style>
  <w:style w:type="paragraph" w:styleId="581">
    <w:name w:val="Heading 8"/>
    <w:basedOn w:val="579"/>
    <w:next w:val="579"/>
    <w:link w:val="587"/>
    <w:qFormat/>
    <w:rPr>
      <w:b/>
      <w:i/>
      <w:sz w:val="18"/>
      <w:shd w:val="clear" w:color="auto" w:fill="FFFFFF"/>
      <w:lang w:val="en-US"/>
    </w:rPr>
    <w:pPr>
      <w:jc w:val="center"/>
      <w:keepNext/>
      <w:widowControl/>
      <w:outlineLvl w:val="7"/>
    </w:pPr>
  </w:style>
  <w:style w:type="character" w:styleId="582" w:default="1">
    <w:name w:val="Default Paragraph Font"/>
    <w:uiPriority w:val="1"/>
    <w:semiHidden/>
    <w:unhideWhenUsed/>
  </w:style>
  <w:style w:type="table" w:styleId="5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84" w:default="1">
    <w:name w:val="No List"/>
    <w:uiPriority w:val="99"/>
    <w:semiHidden/>
    <w:unhideWhenUsed/>
  </w:style>
  <w:style w:type="paragraph" w:styleId="585">
    <w:name w:val="No Spacing"/>
    <w:qFormat/>
    <w:uiPriority w:val="1"/>
    <w:pPr>
      <w:spacing w:lineRule="auto" w:line="240" w:after="0"/>
    </w:pPr>
  </w:style>
  <w:style w:type="character" w:styleId="586" w:customStyle="1">
    <w:name w:val="Заголовок 1 Знак"/>
    <w:basedOn w:val="582"/>
    <w:link w:val="580"/>
    <w:rPr>
      <w:rFonts w:ascii="Times New Roman" w:hAnsi="Times New Roman" w:cs="Times New Roman" w:eastAsia="Times New Roman"/>
      <w:b/>
      <w:sz w:val="20"/>
      <w:szCs w:val="20"/>
      <w:lang w:eastAsia="ru-RU"/>
    </w:rPr>
  </w:style>
  <w:style w:type="character" w:styleId="587" w:customStyle="1">
    <w:name w:val="Заголовок 8 Знак"/>
    <w:basedOn w:val="582"/>
    <w:link w:val="581"/>
    <w:rPr>
      <w:rFonts w:ascii="Times New Roman" w:hAnsi="Times New Roman" w:cs="Times New Roman" w:eastAsia="Times New Roman"/>
      <w:b/>
      <w:i/>
      <w:sz w:val="18"/>
      <w:szCs w:val="20"/>
      <w:lang w:val="en-US" w:eastAsia="ru-RU"/>
    </w:rPr>
  </w:style>
  <w:style w:type="paragraph" w:styleId="588">
    <w:name w:val="List Number"/>
    <w:basedOn w:val="579"/>
    <w:rPr>
      <w:color w:val="000000"/>
      <w:sz w:val="28"/>
    </w:rPr>
    <w:pPr>
      <w:numPr>
        <w:numId w:val="1"/>
      </w:numPr>
      <w:jc w:val="both"/>
      <w:spacing w:lineRule="auto" w:line="360" w:before="60"/>
      <w:widowControl/>
    </w:pPr>
  </w:style>
  <w:style w:type="table" w:styleId="589">
    <w:name w:val="Table Grid"/>
    <w:basedOn w:val="583"/>
    <w:rPr>
      <w:rFonts w:ascii="Times New Roman" w:hAnsi="Times New Roman" w:cs="Times New Roman" w:eastAsia="Times New Roman"/>
      <w:sz w:val="20"/>
      <w:szCs w:val="20"/>
      <w:lang w:eastAsia="ru-RU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590">
    <w:name w:val="Body Text 3"/>
    <w:basedOn w:val="579"/>
    <w:link w:val="591"/>
    <w:rPr>
      <w:b/>
    </w:rPr>
    <w:pPr>
      <w:jc w:val="center"/>
    </w:pPr>
  </w:style>
  <w:style w:type="character" w:styleId="591" w:customStyle="1">
    <w:name w:val="Основной текст 3 Знак"/>
    <w:basedOn w:val="582"/>
    <w:link w:val="590"/>
    <w:rPr>
      <w:rFonts w:ascii="Times New Roman" w:hAnsi="Times New Roman" w:cs="Times New Roman" w:eastAsia="Times New Roman"/>
      <w:b/>
      <w:sz w:val="20"/>
      <w:szCs w:val="20"/>
      <w:lang w:eastAsia="ru-RU"/>
    </w:rPr>
  </w:style>
  <w:style w:type="paragraph" w:styleId="592">
    <w:name w:val="List Paragraph"/>
    <w:basedOn w:val="579"/>
    <w:qFormat/>
    <w:uiPriority w:val="34"/>
    <w:pPr>
      <w:contextualSpacing w:val="true"/>
      <w:ind w:left="720"/>
    </w:pPr>
  </w:style>
  <w:style w:type="paragraph" w:styleId="593">
    <w:name w:val="Balloon Text"/>
    <w:basedOn w:val="579"/>
    <w:link w:val="59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594" w:customStyle="1">
    <w:name w:val="Текст выноски Знак"/>
    <w:basedOn w:val="582"/>
    <w:link w:val="593"/>
    <w:uiPriority w:val="99"/>
    <w:semiHidden/>
    <w:rPr>
      <w:rFonts w:ascii="Segoe UI" w:hAnsi="Segoe UI" w:cs="Segoe UI" w:eastAsia="Times New Roman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Лявданская Анна Александровна</dc:creator>
  <cp:keywords/>
  <dc:description/>
  <cp:revision>5</cp:revision>
  <dcterms:created xsi:type="dcterms:W3CDTF">2019-09-04T05:04:00Z</dcterms:created>
  <dcterms:modified xsi:type="dcterms:W3CDTF">2020-07-14T03:40:11Z</dcterms:modified>
</cp:coreProperties>
</file>