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66" w:rsidRPr="00506EE9" w:rsidRDefault="00034C66" w:rsidP="007F48FA">
      <w:pPr>
        <w:pStyle w:val="ConsNonformat"/>
        <w:widowControl/>
        <w:jc w:val="center"/>
        <w:rPr>
          <w:rFonts w:ascii="Times New Roman" w:hAnsi="Times New Roman" w:cs="Times New Roman"/>
          <w:sz w:val="21"/>
          <w:szCs w:val="21"/>
        </w:rPr>
      </w:pPr>
      <w:r w:rsidRPr="00506EE9">
        <w:rPr>
          <w:rFonts w:ascii="Times New Roman" w:hAnsi="Times New Roman"/>
          <w:sz w:val="21"/>
          <w:szCs w:val="21"/>
        </w:rPr>
        <w:t xml:space="preserve">Сообщение </w:t>
      </w:r>
      <w:r w:rsidR="007F48FA" w:rsidRPr="00506EE9">
        <w:rPr>
          <w:rFonts w:ascii="Times New Roman" w:hAnsi="Times New Roman" w:cs="Times New Roman"/>
          <w:sz w:val="21"/>
          <w:szCs w:val="21"/>
        </w:rPr>
        <w:t xml:space="preserve">о </w:t>
      </w:r>
      <w:r w:rsidR="00212E90" w:rsidRPr="00506EE9">
        <w:rPr>
          <w:rFonts w:ascii="Times New Roman" w:hAnsi="Times New Roman" w:cs="Times New Roman"/>
          <w:sz w:val="21"/>
          <w:szCs w:val="21"/>
        </w:rPr>
        <w:t xml:space="preserve">существенном факте </w:t>
      </w:r>
    </w:p>
    <w:p w:rsidR="00D31AAE" w:rsidRPr="00EE6040" w:rsidRDefault="00212E90" w:rsidP="00EE6040">
      <w:pPr>
        <w:pStyle w:val="ConsNonformat"/>
        <w:widowControl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506EE9">
        <w:rPr>
          <w:rFonts w:ascii="Times New Roman" w:hAnsi="Times New Roman" w:cs="Times New Roman"/>
          <w:sz w:val="21"/>
          <w:szCs w:val="21"/>
        </w:rPr>
        <w:t>«</w:t>
      </w:r>
      <w:r w:rsidR="00095471" w:rsidRPr="00506EE9">
        <w:rPr>
          <w:rFonts w:ascii="Times New Roman" w:hAnsi="Times New Roman" w:cs="Times New Roman"/>
          <w:bCs/>
          <w:color w:val="000000"/>
          <w:sz w:val="21"/>
          <w:szCs w:val="21"/>
        </w:rPr>
        <w:t>О проведении заседания совета директоров (наблюдательного совета) эмитента и его повестке дня, а также об отдельных решениях, принятых советом директоров (наблюдательным советом) эмитента</w:t>
      </w:r>
      <w:r w:rsidRPr="00506EE9">
        <w:rPr>
          <w:rFonts w:ascii="Times New Roman" w:hAnsi="Times New Roman" w:cs="Times New Roman"/>
          <w:color w:val="000000"/>
          <w:sz w:val="21"/>
          <w:szCs w:val="21"/>
        </w:rPr>
        <w:t>»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7"/>
        <w:gridCol w:w="5180"/>
      </w:tblGrid>
      <w:tr w:rsidR="006C27DF" w:rsidRPr="00506EE9" w:rsidTr="00C90098">
        <w:trPr>
          <w:cantSplit/>
          <w:trHeight w:val="169"/>
        </w:trPr>
        <w:tc>
          <w:tcPr>
            <w:tcW w:w="10627" w:type="dxa"/>
            <w:gridSpan w:val="2"/>
            <w:vAlign w:val="center"/>
          </w:tcPr>
          <w:p w:rsidR="006C27DF" w:rsidRPr="00506EE9" w:rsidRDefault="006C27DF" w:rsidP="00052005">
            <w:pPr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spacing w:before="20" w:after="80"/>
              <w:ind w:left="0" w:firstLine="0"/>
              <w:jc w:val="center"/>
              <w:rPr>
                <w:sz w:val="21"/>
                <w:szCs w:val="21"/>
              </w:rPr>
            </w:pPr>
            <w:r w:rsidRPr="00506EE9">
              <w:rPr>
                <w:sz w:val="21"/>
                <w:szCs w:val="21"/>
              </w:rPr>
              <w:t>Общие сведения</w:t>
            </w:r>
          </w:p>
        </w:tc>
      </w:tr>
      <w:tr w:rsidR="006C27DF" w:rsidRPr="00506EE9" w:rsidTr="00C90098">
        <w:trPr>
          <w:trHeight w:val="606"/>
        </w:trPr>
        <w:tc>
          <w:tcPr>
            <w:tcW w:w="5447" w:type="dxa"/>
            <w:vAlign w:val="center"/>
          </w:tcPr>
          <w:p w:rsidR="006C27DF" w:rsidRPr="00506EE9" w:rsidRDefault="006C27DF" w:rsidP="00832874">
            <w:pPr>
              <w:rPr>
                <w:sz w:val="21"/>
                <w:szCs w:val="21"/>
              </w:rPr>
            </w:pPr>
            <w:r w:rsidRPr="00506EE9">
              <w:rPr>
                <w:sz w:val="21"/>
                <w:szCs w:val="21"/>
              </w:rPr>
              <w:t>1.1. Полное фирменное наименование эмитента</w:t>
            </w:r>
          </w:p>
        </w:tc>
        <w:tc>
          <w:tcPr>
            <w:tcW w:w="5180" w:type="dxa"/>
            <w:vAlign w:val="center"/>
          </w:tcPr>
          <w:p w:rsidR="006C27DF" w:rsidRPr="00506EE9" w:rsidRDefault="003779CD" w:rsidP="00832874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А</w:t>
            </w:r>
            <w:r w:rsidR="006C27DF" w:rsidRPr="00506EE9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кционерное общество «Дальневосточная генерирующая компания»</w:t>
            </w:r>
          </w:p>
        </w:tc>
      </w:tr>
      <w:tr w:rsidR="006C27DF" w:rsidRPr="00506EE9" w:rsidTr="00C90098">
        <w:tc>
          <w:tcPr>
            <w:tcW w:w="5447" w:type="dxa"/>
            <w:vAlign w:val="center"/>
          </w:tcPr>
          <w:p w:rsidR="006C27DF" w:rsidRPr="00506EE9" w:rsidRDefault="006C27DF" w:rsidP="00832874">
            <w:pPr>
              <w:pStyle w:val="ConsNonformat"/>
              <w:widowControl/>
              <w:overflowPunct w:val="0"/>
              <w:spacing w:before="60" w:after="6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506EE9">
              <w:rPr>
                <w:rFonts w:ascii="Times New Roman" w:hAnsi="Times New Roman" w:cs="Times New Roman"/>
                <w:sz w:val="21"/>
                <w:szCs w:val="21"/>
              </w:rPr>
              <w:t>1.2. Сокращенное фирменное наименование эмитента</w:t>
            </w:r>
          </w:p>
        </w:tc>
        <w:tc>
          <w:tcPr>
            <w:tcW w:w="5180" w:type="dxa"/>
            <w:vAlign w:val="center"/>
          </w:tcPr>
          <w:p w:rsidR="006C27DF" w:rsidRPr="00506EE9" w:rsidRDefault="006C27DF" w:rsidP="00832874">
            <w:pPr>
              <w:spacing w:before="60" w:after="60"/>
              <w:rPr>
                <w:b/>
                <w:bCs/>
                <w:i/>
                <w:iCs/>
                <w:sz w:val="21"/>
                <w:szCs w:val="21"/>
              </w:rPr>
            </w:pPr>
            <w:r w:rsidRPr="00506EE9">
              <w:rPr>
                <w:b/>
                <w:bCs/>
                <w:i/>
                <w:iCs/>
                <w:sz w:val="21"/>
                <w:szCs w:val="21"/>
              </w:rPr>
              <w:t>АО «ДГК»</w:t>
            </w:r>
          </w:p>
        </w:tc>
      </w:tr>
      <w:tr w:rsidR="006C27DF" w:rsidRPr="00506EE9" w:rsidTr="00C90098">
        <w:tc>
          <w:tcPr>
            <w:tcW w:w="5447" w:type="dxa"/>
            <w:vAlign w:val="center"/>
          </w:tcPr>
          <w:p w:rsidR="006C27DF" w:rsidRPr="00506EE9" w:rsidRDefault="006C27DF" w:rsidP="00832874">
            <w:pPr>
              <w:rPr>
                <w:sz w:val="21"/>
                <w:szCs w:val="21"/>
              </w:rPr>
            </w:pPr>
            <w:r w:rsidRPr="00506EE9">
              <w:rPr>
                <w:sz w:val="21"/>
                <w:szCs w:val="21"/>
              </w:rPr>
              <w:t>1.3. Место нахождения эмитента</w:t>
            </w:r>
          </w:p>
        </w:tc>
        <w:tc>
          <w:tcPr>
            <w:tcW w:w="5180" w:type="dxa"/>
            <w:vAlign w:val="center"/>
          </w:tcPr>
          <w:p w:rsidR="006C27DF" w:rsidRPr="00341AE6" w:rsidRDefault="00341AE6" w:rsidP="00832874">
            <w:pPr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Российская Федерация, г. Хабаровск</w:t>
            </w:r>
          </w:p>
        </w:tc>
      </w:tr>
      <w:tr w:rsidR="006C27DF" w:rsidRPr="00506EE9" w:rsidTr="00C90098">
        <w:trPr>
          <w:trHeight w:val="264"/>
        </w:trPr>
        <w:tc>
          <w:tcPr>
            <w:tcW w:w="5447" w:type="dxa"/>
            <w:vAlign w:val="center"/>
          </w:tcPr>
          <w:p w:rsidR="006C27DF" w:rsidRPr="00506EE9" w:rsidRDefault="006C27DF" w:rsidP="00832874">
            <w:pPr>
              <w:spacing w:before="60" w:after="60"/>
              <w:rPr>
                <w:sz w:val="21"/>
                <w:szCs w:val="21"/>
              </w:rPr>
            </w:pPr>
            <w:r w:rsidRPr="00506EE9">
              <w:rPr>
                <w:sz w:val="21"/>
                <w:szCs w:val="21"/>
              </w:rPr>
              <w:t>1.4. ОГРН эмитента</w:t>
            </w:r>
          </w:p>
        </w:tc>
        <w:tc>
          <w:tcPr>
            <w:tcW w:w="5180" w:type="dxa"/>
            <w:vAlign w:val="center"/>
          </w:tcPr>
          <w:p w:rsidR="006C27DF" w:rsidRPr="00506EE9" w:rsidRDefault="006C27DF" w:rsidP="00832874">
            <w:pPr>
              <w:spacing w:before="60" w:after="60"/>
              <w:rPr>
                <w:b/>
                <w:bCs/>
                <w:i/>
                <w:iCs/>
                <w:sz w:val="21"/>
                <w:szCs w:val="21"/>
              </w:rPr>
            </w:pPr>
            <w:r w:rsidRPr="00506EE9">
              <w:rPr>
                <w:b/>
                <w:i/>
                <w:sz w:val="21"/>
                <w:szCs w:val="21"/>
              </w:rPr>
              <w:t>1051401746769</w:t>
            </w:r>
          </w:p>
        </w:tc>
      </w:tr>
      <w:tr w:rsidR="006C27DF" w:rsidRPr="00506EE9" w:rsidTr="00C90098">
        <w:trPr>
          <w:trHeight w:val="325"/>
        </w:trPr>
        <w:tc>
          <w:tcPr>
            <w:tcW w:w="5447" w:type="dxa"/>
            <w:vAlign w:val="center"/>
          </w:tcPr>
          <w:p w:rsidR="006C27DF" w:rsidRPr="00506EE9" w:rsidRDefault="006C27DF" w:rsidP="00832874">
            <w:pPr>
              <w:spacing w:before="60" w:after="60"/>
              <w:rPr>
                <w:sz w:val="21"/>
                <w:szCs w:val="21"/>
              </w:rPr>
            </w:pPr>
            <w:r w:rsidRPr="00506EE9">
              <w:rPr>
                <w:sz w:val="21"/>
                <w:szCs w:val="21"/>
              </w:rPr>
              <w:t>1.5. ИНН эмитента</w:t>
            </w:r>
          </w:p>
        </w:tc>
        <w:tc>
          <w:tcPr>
            <w:tcW w:w="5180" w:type="dxa"/>
            <w:vAlign w:val="center"/>
          </w:tcPr>
          <w:p w:rsidR="006C27DF" w:rsidRPr="00506EE9" w:rsidRDefault="006C27DF" w:rsidP="00832874">
            <w:pPr>
              <w:spacing w:before="60" w:after="60"/>
              <w:rPr>
                <w:b/>
                <w:bCs/>
                <w:i/>
                <w:iCs/>
                <w:sz w:val="21"/>
                <w:szCs w:val="21"/>
              </w:rPr>
            </w:pPr>
            <w:r w:rsidRPr="00506EE9">
              <w:rPr>
                <w:b/>
                <w:i/>
                <w:sz w:val="21"/>
                <w:szCs w:val="21"/>
              </w:rPr>
              <w:t>1434031363</w:t>
            </w:r>
          </w:p>
        </w:tc>
      </w:tr>
      <w:tr w:rsidR="006C27DF" w:rsidRPr="00506EE9" w:rsidTr="00C90098">
        <w:tc>
          <w:tcPr>
            <w:tcW w:w="5447" w:type="dxa"/>
            <w:vAlign w:val="center"/>
          </w:tcPr>
          <w:p w:rsidR="006C27DF" w:rsidRPr="00506EE9" w:rsidRDefault="006C27DF" w:rsidP="00832874">
            <w:pPr>
              <w:rPr>
                <w:sz w:val="21"/>
                <w:szCs w:val="21"/>
              </w:rPr>
            </w:pPr>
            <w:r w:rsidRPr="00506EE9">
              <w:rPr>
                <w:sz w:val="21"/>
                <w:szCs w:val="21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180" w:type="dxa"/>
            <w:vAlign w:val="center"/>
          </w:tcPr>
          <w:p w:rsidR="006C27DF" w:rsidRPr="00506EE9" w:rsidRDefault="006C27DF" w:rsidP="00832874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506EE9">
              <w:rPr>
                <w:b/>
                <w:bCs/>
                <w:i/>
                <w:iCs/>
                <w:sz w:val="21"/>
                <w:szCs w:val="21"/>
              </w:rPr>
              <w:t>32532-</w:t>
            </w:r>
            <w:r w:rsidRPr="00506EE9">
              <w:rPr>
                <w:b/>
                <w:bCs/>
                <w:i/>
                <w:iCs/>
                <w:sz w:val="21"/>
                <w:szCs w:val="21"/>
                <w:lang w:val="en-US"/>
              </w:rPr>
              <w:t>F</w:t>
            </w:r>
          </w:p>
        </w:tc>
      </w:tr>
      <w:tr w:rsidR="006C27DF" w:rsidRPr="00506EE9" w:rsidTr="00C90098">
        <w:tc>
          <w:tcPr>
            <w:tcW w:w="5447" w:type="dxa"/>
            <w:vAlign w:val="center"/>
          </w:tcPr>
          <w:p w:rsidR="006C27DF" w:rsidRPr="00506EE9" w:rsidRDefault="006C27DF" w:rsidP="00B51D6D">
            <w:pPr>
              <w:tabs>
                <w:tab w:val="left" w:pos="284"/>
              </w:tabs>
              <w:rPr>
                <w:sz w:val="21"/>
                <w:szCs w:val="21"/>
              </w:rPr>
            </w:pPr>
            <w:r w:rsidRPr="00506EE9">
              <w:rPr>
                <w:sz w:val="21"/>
                <w:szCs w:val="21"/>
              </w:rPr>
              <w:t>1.7. Адрес страницы в сети Интернет, используемой эмитентом для раскрытия информации</w:t>
            </w:r>
            <w:r w:rsidRPr="00506EE9"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5180" w:type="dxa"/>
            <w:vAlign w:val="center"/>
          </w:tcPr>
          <w:p w:rsidR="00B515BB" w:rsidRPr="00506EE9" w:rsidRDefault="00791CE4" w:rsidP="00832874">
            <w:pPr>
              <w:rPr>
                <w:b/>
                <w:i/>
                <w:color w:val="365F91"/>
                <w:sz w:val="21"/>
                <w:szCs w:val="21"/>
              </w:rPr>
            </w:pPr>
            <w:hyperlink r:id="rId8" w:history="1">
              <w:r w:rsidR="006C27DF" w:rsidRPr="00506EE9">
                <w:rPr>
                  <w:rStyle w:val="a5"/>
                  <w:b/>
                  <w:i/>
                  <w:color w:val="365F91"/>
                  <w:sz w:val="21"/>
                  <w:szCs w:val="21"/>
                  <w:u w:val="none"/>
                </w:rPr>
                <w:t>http://www.dvgk.ru/</w:t>
              </w:r>
            </w:hyperlink>
            <w:r w:rsidR="009F634D" w:rsidRPr="00506EE9">
              <w:rPr>
                <w:b/>
                <w:i/>
                <w:color w:val="365F91"/>
                <w:sz w:val="21"/>
                <w:szCs w:val="21"/>
              </w:rPr>
              <w:t xml:space="preserve"> </w:t>
            </w:r>
            <w:r w:rsidR="00B515BB" w:rsidRPr="00506EE9">
              <w:rPr>
                <w:b/>
                <w:i/>
                <w:color w:val="365F91"/>
                <w:sz w:val="21"/>
                <w:szCs w:val="21"/>
              </w:rPr>
              <w:t xml:space="preserve"> </w:t>
            </w:r>
          </w:p>
          <w:p w:rsidR="006C27DF" w:rsidRPr="00506EE9" w:rsidRDefault="00791CE4" w:rsidP="00832874">
            <w:pPr>
              <w:rPr>
                <w:b/>
                <w:i/>
                <w:color w:val="0070C0"/>
                <w:sz w:val="21"/>
                <w:szCs w:val="21"/>
              </w:rPr>
            </w:pPr>
            <w:hyperlink r:id="rId9" w:history="1">
              <w:r w:rsidR="009F634D" w:rsidRPr="00506EE9">
                <w:rPr>
                  <w:b/>
                  <w:i/>
                  <w:color w:val="365F91"/>
                  <w:sz w:val="21"/>
                  <w:szCs w:val="21"/>
                  <w:lang w:val="en"/>
                </w:rPr>
                <w:t>http</w:t>
              </w:r>
              <w:r w:rsidR="009F634D" w:rsidRPr="00506EE9">
                <w:rPr>
                  <w:b/>
                  <w:i/>
                  <w:color w:val="365F91"/>
                  <w:sz w:val="21"/>
                  <w:szCs w:val="21"/>
                </w:rPr>
                <w:t>://</w:t>
              </w:r>
              <w:r w:rsidR="009F634D" w:rsidRPr="00506EE9">
                <w:rPr>
                  <w:b/>
                  <w:i/>
                  <w:color w:val="365F91"/>
                  <w:sz w:val="21"/>
                  <w:szCs w:val="21"/>
                  <w:lang w:val="en"/>
                </w:rPr>
                <w:t>www</w:t>
              </w:r>
              <w:r w:rsidR="009F634D" w:rsidRPr="00506EE9">
                <w:rPr>
                  <w:b/>
                  <w:i/>
                  <w:color w:val="365F91"/>
                  <w:sz w:val="21"/>
                  <w:szCs w:val="21"/>
                </w:rPr>
                <w:t>.</w:t>
              </w:r>
              <w:r w:rsidR="009F634D" w:rsidRPr="00506EE9">
                <w:rPr>
                  <w:b/>
                  <w:i/>
                  <w:color w:val="365F91"/>
                  <w:sz w:val="21"/>
                  <w:szCs w:val="21"/>
                  <w:lang w:val="en"/>
                </w:rPr>
                <w:t>e</w:t>
              </w:r>
              <w:r w:rsidR="009F634D" w:rsidRPr="00506EE9">
                <w:rPr>
                  <w:b/>
                  <w:i/>
                  <w:color w:val="365F91"/>
                  <w:sz w:val="21"/>
                  <w:szCs w:val="21"/>
                </w:rPr>
                <w:t>-</w:t>
              </w:r>
              <w:r w:rsidR="009F634D" w:rsidRPr="00506EE9">
                <w:rPr>
                  <w:b/>
                  <w:i/>
                  <w:color w:val="365F91"/>
                  <w:sz w:val="21"/>
                  <w:szCs w:val="21"/>
                  <w:lang w:val="en"/>
                </w:rPr>
                <w:t>disclosure</w:t>
              </w:r>
              <w:r w:rsidR="009F634D" w:rsidRPr="00506EE9">
                <w:rPr>
                  <w:b/>
                  <w:i/>
                  <w:color w:val="365F91"/>
                  <w:sz w:val="21"/>
                  <w:szCs w:val="21"/>
                </w:rPr>
                <w:t>.</w:t>
              </w:r>
              <w:proofErr w:type="spellStart"/>
              <w:r w:rsidR="009F634D" w:rsidRPr="00506EE9">
                <w:rPr>
                  <w:b/>
                  <w:i/>
                  <w:color w:val="365F91"/>
                  <w:sz w:val="21"/>
                  <w:szCs w:val="21"/>
                  <w:lang w:val="en"/>
                </w:rPr>
                <w:t>ru</w:t>
              </w:r>
              <w:proofErr w:type="spellEnd"/>
              <w:r w:rsidR="009F634D" w:rsidRPr="00506EE9">
                <w:rPr>
                  <w:b/>
                  <w:i/>
                  <w:color w:val="365F91"/>
                  <w:sz w:val="21"/>
                  <w:szCs w:val="21"/>
                </w:rPr>
                <w:t>/</w:t>
              </w:r>
              <w:r w:rsidR="009F634D" w:rsidRPr="00506EE9">
                <w:rPr>
                  <w:b/>
                  <w:i/>
                  <w:color w:val="365F91"/>
                  <w:sz w:val="21"/>
                  <w:szCs w:val="21"/>
                  <w:lang w:val="en"/>
                </w:rPr>
                <w:t>portal</w:t>
              </w:r>
              <w:r w:rsidR="009F634D" w:rsidRPr="00506EE9">
                <w:rPr>
                  <w:b/>
                  <w:i/>
                  <w:color w:val="365F91"/>
                  <w:sz w:val="21"/>
                  <w:szCs w:val="21"/>
                </w:rPr>
                <w:t>/</w:t>
              </w:r>
              <w:r w:rsidR="009F634D" w:rsidRPr="00506EE9">
                <w:rPr>
                  <w:b/>
                  <w:i/>
                  <w:color w:val="365F91"/>
                  <w:sz w:val="21"/>
                  <w:szCs w:val="21"/>
                  <w:lang w:val="en"/>
                </w:rPr>
                <w:t>company</w:t>
              </w:r>
              <w:r w:rsidR="009F634D" w:rsidRPr="00506EE9">
                <w:rPr>
                  <w:b/>
                  <w:i/>
                  <w:color w:val="365F91"/>
                  <w:sz w:val="21"/>
                  <w:szCs w:val="21"/>
                </w:rPr>
                <w:t>.</w:t>
              </w:r>
              <w:proofErr w:type="spellStart"/>
              <w:r w:rsidR="009F634D" w:rsidRPr="00506EE9">
                <w:rPr>
                  <w:b/>
                  <w:i/>
                  <w:color w:val="365F91"/>
                  <w:sz w:val="21"/>
                  <w:szCs w:val="21"/>
                  <w:lang w:val="en"/>
                </w:rPr>
                <w:t>aspx</w:t>
              </w:r>
              <w:proofErr w:type="spellEnd"/>
              <w:r w:rsidR="009F634D" w:rsidRPr="00506EE9">
                <w:rPr>
                  <w:b/>
                  <w:i/>
                  <w:color w:val="365F91"/>
                  <w:sz w:val="21"/>
                  <w:szCs w:val="21"/>
                </w:rPr>
                <w:t>?</w:t>
              </w:r>
              <w:r w:rsidR="009F634D" w:rsidRPr="00506EE9">
                <w:rPr>
                  <w:b/>
                  <w:i/>
                  <w:color w:val="365F91"/>
                  <w:sz w:val="21"/>
                  <w:szCs w:val="21"/>
                  <w:lang w:val="en"/>
                </w:rPr>
                <w:t>id</w:t>
              </w:r>
              <w:r w:rsidR="009F634D" w:rsidRPr="00506EE9">
                <w:rPr>
                  <w:b/>
                  <w:i/>
                  <w:color w:val="365F91"/>
                  <w:sz w:val="21"/>
                  <w:szCs w:val="21"/>
                </w:rPr>
                <w:t>=9644</w:t>
              </w:r>
            </w:hyperlink>
          </w:p>
        </w:tc>
      </w:tr>
      <w:tr w:rsidR="00537609" w:rsidRPr="00506EE9" w:rsidTr="00C90098">
        <w:tc>
          <w:tcPr>
            <w:tcW w:w="5447" w:type="dxa"/>
            <w:vAlign w:val="center"/>
          </w:tcPr>
          <w:p w:rsidR="00537609" w:rsidRPr="00506EE9" w:rsidRDefault="00537609" w:rsidP="00B51D6D">
            <w:pPr>
              <w:tabs>
                <w:tab w:val="left" w:pos="284"/>
              </w:tabs>
              <w:rPr>
                <w:sz w:val="21"/>
                <w:szCs w:val="21"/>
              </w:rPr>
            </w:pPr>
            <w:r w:rsidRPr="00537609">
              <w:rPr>
                <w:sz w:val="21"/>
                <w:szCs w:val="21"/>
              </w:rPr>
              <w:t xml:space="preserve">1.8. Дата наступления </w:t>
            </w:r>
            <w:r w:rsidRPr="00396BBE">
              <w:rPr>
                <w:sz w:val="21"/>
                <w:szCs w:val="21"/>
              </w:rPr>
              <w:t>события (существенного факта), о котором составлено сообщение (если применимо)</w:t>
            </w:r>
          </w:p>
        </w:tc>
        <w:tc>
          <w:tcPr>
            <w:tcW w:w="5180" w:type="dxa"/>
            <w:vAlign w:val="center"/>
          </w:tcPr>
          <w:p w:rsidR="00537609" w:rsidRPr="00521D03" w:rsidRDefault="007D1455" w:rsidP="007D1455">
            <w:pPr>
              <w:rPr>
                <w:b/>
                <w:i/>
                <w:color w:val="000000"/>
                <w:sz w:val="21"/>
                <w:szCs w:val="21"/>
              </w:rPr>
            </w:pPr>
            <w:r>
              <w:rPr>
                <w:b/>
                <w:i/>
                <w:color w:val="000000"/>
                <w:sz w:val="21"/>
                <w:szCs w:val="21"/>
              </w:rPr>
              <w:t>3</w:t>
            </w:r>
            <w:r w:rsidR="00E7196B">
              <w:rPr>
                <w:b/>
                <w:i/>
                <w:color w:val="000000"/>
                <w:sz w:val="21"/>
                <w:szCs w:val="21"/>
              </w:rPr>
              <w:t>0</w:t>
            </w:r>
            <w:r w:rsidR="000F7371">
              <w:rPr>
                <w:b/>
                <w:i/>
                <w:color w:val="000000"/>
                <w:sz w:val="21"/>
                <w:szCs w:val="21"/>
              </w:rPr>
              <w:t>.</w:t>
            </w:r>
            <w:r w:rsidR="00E7196B">
              <w:rPr>
                <w:b/>
                <w:i/>
                <w:color w:val="000000"/>
                <w:sz w:val="21"/>
                <w:szCs w:val="21"/>
              </w:rPr>
              <w:t>12</w:t>
            </w:r>
            <w:r w:rsidR="00396BBE" w:rsidRPr="00521D03">
              <w:rPr>
                <w:b/>
                <w:i/>
                <w:color w:val="000000"/>
                <w:sz w:val="21"/>
                <w:szCs w:val="21"/>
              </w:rPr>
              <w:t>.201</w:t>
            </w:r>
            <w:r w:rsidR="000F7371">
              <w:rPr>
                <w:b/>
                <w:i/>
                <w:color w:val="000000"/>
                <w:sz w:val="21"/>
                <w:szCs w:val="21"/>
              </w:rPr>
              <w:t>9</w:t>
            </w:r>
          </w:p>
        </w:tc>
      </w:tr>
    </w:tbl>
    <w:p w:rsidR="006C27DF" w:rsidRPr="00506EE9" w:rsidRDefault="006C27DF" w:rsidP="006C27DF">
      <w:pPr>
        <w:rPr>
          <w:sz w:val="21"/>
          <w:szCs w:val="21"/>
        </w:rPr>
      </w:pPr>
    </w:p>
    <w:tbl>
      <w:tblPr>
        <w:tblW w:w="10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61"/>
      </w:tblGrid>
      <w:tr w:rsidR="006C27DF" w:rsidRPr="00506EE9" w:rsidTr="007754CC">
        <w:trPr>
          <w:cantSplit/>
          <w:trHeight w:val="324"/>
        </w:trPr>
        <w:tc>
          <w:tcPr>
            <w:tcW w:w="10661" w:type="dxa"/>
            <w:vAlign w:val="center"/>
          </w:tcPr>
          <w:p w:rsidR="00D804B8" w:rsidRPr="00506EE9" w:rsidRDefault="00052005" w:rsidP="0005200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="006C27DF" w:rsidRPr="00506EE9">
              <w:rPr>
                <w:sz w:val="21"/>
                <w:szCs w:val="21"/>
              </w:rPr>
              <w:t>Содержание сообщения</w:t>
            </w:r>
          </w:p>
          <w:p w:rsidR="006C27DF" w:rsidRPr="00506EE9" w:rsidRDefault="00D804B8" w:rsidP="0005200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385132">
              <w:rPr>
                <w:bCs/>
                <w:color w:val="000000"/>
                <w:sz w:val="21"/>
                <w:szCs w:val="21"/>
              </w:rPr>
              <w:t>Об отдельных решениях, принятых советом директоров эмитента</w:t>
            </w:r>
          </w:p>
        </w:tc>
      </w:tr>
      <w:tr w:rsidR="006C27DF" w:rsidRPr="00506EE9" w:rsidTr="007754CC">
        <w:trPr>
          <w:trHeight w:val="557"/>
        </w:trPr>
        <w:tc>
          <w:tcPr>
            <w:tcW w:w="10661" w:type="dxa"/>
            <w:tcBorders>
              <w:bottom w:val="single" w:sz="4" w:space="0" w:color="auto"/>
            </w:tcBorders>
          </w:tcPr>
          <w:p w:rsidR="00D804B8" w:rsidRPr="00A9330C" w:rsidRDefault="00056F76" w:rsidP="00EE6040">
            <w:pPr>
              <w:numPr>
                <w:ilvl w:val="1"/>
                <w:numId w:val="2"/>
              </w:numPr>
              <w:tabs>
                <w:tab w:val="left" w:pos="0"/>
                <w:tab w:val="left" w:pos="142"/>
                <w:tab w:val="left" w:pos="426"/>
              </w:tabs>
              <w:overflowPunct/>
              <w:ind w:left="0" w:firstLine="0"/>
              <w:jc w:val="both"/>
              <w:textAlignment w:val="auto"/>
              <w:outlineLvl w:val="2"/>
              <w:rPr>
                <w:b/>
                <w:i/>
                <w:color w:val="000000"/>
                <w:sz w:val="21"/>
                <w:szCs w:val="21"/>
              </w:rPr>
            </w:pPr>
            <w:r w:rsidRPr="00A9330C">
              <w:rPr>
                <w:color w:val="000000"/>
                <w:sz w:val="21"/>
                <w:szCs w:val="21"/>
              </w:rPr>
              <w:t xml:space="preserve"> </w:t>
            </w:r>
            <w:r w:rsidR="00D804B8" w:rsidRPr="00A9330C">
              <w:rPr>
                <w:color w:val="000000"/>
                <w:sz w:val="21"/>
                <w:szCs w:val="21"/>
              </w:rPr>
              <w:t>Кворум заседания совета директоров эмитента и результаты голосования по вопросам о принятии решений:</w:t>
            </w:r>
            <w:r w:rsidR="00D804B8" w:rsidRPr="00A9330C">
              <w:rPr>
                <w:b/>
                <w:i/>
                <w:color w:val="000000"/>
                <w:sz w:val="21"/>
                <w:szCs w:val="21"/>
              </w:rPr>
              <w:t xml:space="preserve"> </w:t>
            </w:r>
            <w:r w:rsidR="00341AE6" w:rsidRPr="00A9330C">
              <w:rPr>
                <w:b/>
                <w:i/>
                <w:color w:val="000000"/>
                <w:sz w:val="21"/>
                <w:szCs w:val="21"/>
              </w:rPr>
              <w:t xml:space="preserve">Число членов Совета директоров </w:t>
            </w:r>
            <w:r w:rsidR="00D804B8" w:rsidRPr="00A9330C">
              <w:rPr>
                <w:b/>
                <w:i/>
                <w:color w:val="000000"/>
                <w:sz w:val="21"/>
                <w:szCs w:val="21"/>
              </w:rPr>
              <w:t>АО «ДГК», представивших опросный лист по вопросам повестки дня заседания, составляет не менее половины от числа избранных членов Совета дире</w:t>
            </w:r>
            <w:r w:rsidR="00341AE6" w:rsidRPr="00A9330C">
              <w:rPr>
                <w:b/>
                <w:i/>
                <w:color w:val="000000"/>
                <w:sz w:val="21"/>
                <w:szCs w:val="21"/>
              </w:rPr>
              <w:t xml:space="preserve">кторов </w:t>
            </w:r>
            <w:r w:rsidR="00D804B8" w:rsidRPr="00A9330C">
              <w:rPr>
                <w:b/>
                <w:i/>
                <w:color w:val="000000"/>
                <w:sz w:val="21"/>
                <w:szCs w:val="21"/>
              </w:rPr>
              <w:t>АО «ДГК». Кворум для проведен</w:t>
            </w:r>
            <w:r w:rsidR="00341AE6" w:rsidRPr="00A9330C">
              <w:rPr>
                <w:b/>
                <w:i/>
                <w:color w:val="000000"/>
                <w:sz w:val="21"/>
                <w:szCs w:val="21"/>
              </w:rPr>
              <w:t xml:space="preserve">ия заседания Совета директоров </w:t>
            </w:r>
            <w:r w:rsidR="00D804B8" w:rsidRPr="00A9330C">
              <w:rPr>
                <w:b/>
                <w:i/>
                <w:color w:val="000000"/>
                <w:sz w:val="21"/>
                <w:szCs w:val="21"/>
              </w:rPr>
              <w:t>АО «ДГК» имеется.</w:t>
            </w:r>
          </w:p>
          <w:p w:rsidR="00C90098" w:rsidRDefault="00C90098" w:rsidP="00A9330C">
            <w:pPr>
              <w:tabs>
                <w:tab w:val="left" w:pos="0"/>
                <w:tab w:val="left" w:pos="142"/>
                <w:tab w:val="left" w:pos="426"/>
                <w:tab w:val="left" w:pos="851"/>
              </w:tabs>
              <w:overflowPunct/>
              <w:ind w:firstLine="452"/>
              <w:jc w:val="both"/>
              <w:textAlignment w:val="auto"/>
              <w:outlineLvl w:val="2"/>
              <w:rPr>
                <w:color w:val="000000"/>
                <w:sz w:val="21"/>
                <w:szCs w:val="21"/>
              </w:rPr>
            </w:pPr>
          </w:p>
          <w:p w:rsidR="00E7196B" w:rsidRDefault="00056F76" w:rsidP="00537609">
            <w:pPr>
              <w:tabs>
                <w:tab w:val="left" w:pos="0"/>
                <w:tab w:val="left" w:pos="142"/>
                <w:tab w:val="left" w:pos="426"/>
                <w:tab w:val="left" w:pos="851"/>
              </w:tabs>
              <w:overflowPunct/>
              <w:ind w:firstLine="142"/>
              <w:jc w:val="both"/>
              <w:textAlignment w:val="auto"/>
              <w:outlineLvl w:val="2"/>
              <w:rPr>
                <w:b/>
                <w:i/>
                <w:sz w:val="21"/>
                <w:szCs w:val="21"/>
              </w:rPr>
            </w:pPr>
            <w:r w:rsidRPr="00A9330C">
              <w:rPr>
                <w:color w:val="000000"/>
                <w:sz w:val="21"/>
                <w:szCs w:val="21"/>
              </w:rPr>
              <w:t>Результаты голосования</w:t>
            </w:r>
            <w:r w:rsidR="004C052D" w:rsidRPr="00A9330C">
              <w:rPr>
                <w:color w:val="000000"/>
                <w:sz w:val="21"/>
                <w:szCs w:val="21"/>
              </w:rPr>
              <w:t xml:space="preserve"> </w:t>
            </w:r>
            <w:r w:rsidR="008B7DB3" w:rsidRPr="00494B2D">
              <w:rPr>
                <w:color w:val="000000"/>
                <w:sz w:val="21"/>
                <w:szCs w:val="21"/>
              </w:rPr>
              <w:t>по вопросу</w:t>
            </w:r>
            <w:r w:rsidR="00733505" w:rsidRPr="00494B2D">
              <w:rPr>
                <w:color w:val="000000"/>
                <w:sz w:val="21"/>
                <w:szCs w:val="21"/>
              </w:rPr>
              <w:t xml:space="preserve"> </w:t>
            </w:r>
            <w:r w:rsidR="00341AE6" w:rsidRPr="00494B2D">
              <w:rPr>
                <w:color w:val="000000"/>
                <w:sz w:val="21"/>
                <w:szCs w:val="21"/>
              </w:rPr>
              <w:t xml:space="preserve">№ </w:t>
            </w:r>
            <w:r w:rsidR="007D1455" w:rsidRPr="00494B2D">
              <w:rPr>
                <w:color w:val="000000"/>
                <w:sz w:val="21"/>
                <w:szCs w:val="21"/>
              </w:rPr>
              <w:t>8</w:t>
            </w:r>
            <w:r w:rsidR="00537609" w:rsidRPr="00494B2D">
              <w:rPr>
                <w:sz w:val="21"/>
                <w:szCs w:val="21"/>
              </w:rPr>
              <w:t>.</w:t>
            </w:r>
            <w:r w:rsidR="00537609" w:rsidRPr="00A9330C">
              <w:rPr>
                <w:sz w:val="21"/>
                <w:szCs w:val="21"/>
              </w:rPr>
              <w:t xml:space="preserve"> </w:t>
            </w:r>
            <w:r w:rsidR="007D1455" w:rsidRPr="00D00167">
              <w:rPr>
                <w:b/>
                <w:i/>
                <w:sz w:val="22"/>
                <w:szCs w:val="22"/>
              </w:rPr>
              <w:t>О согласии на заключение между АО «ДГК» и САО «ВСК» договора добровольного медицинского страхования граждан, являющегося сделкой, в совершении которой имеется заинтересованность</w:t>
            </w:r>
            <w:r w:rsidR="00E7196B" w:rsidRPr="00E7196B">
              <w:rPr>
                <w:b/>
                <w:i/>
                <w:sz w:val="21"/>
                <w:szCs w:val="21"/>
              </w:rPr>
              <w:t xml:space="preserve">. </w:t>
            </w:r>
          </w:p>
          <w:p w:rsidR="006C3E83" w:rsidRDefault="008B722E" w:rsidP="00537609">
            <w:pPr>
              <w:tabs>
                <w:tab w:val="left" w:pos="0"/>
                <w:tab w:val="left" w:pos="142"/>
                <w:tab w:val="left" w:pos="426"/>
                <w:tab w:val="left" w:pos="851"/>
              </w:tabs>
              <w:overflowPunct/>
              <w:ind w:firstLine="142"/>
              <w:jc w:val="both"/>
              <w:textAlignment w:val="auto"/>
              <w:outlineLvl w:val="2"/>
              <w:rPr>
                <w:b/>
                <w:i/>
                <w:color w:val="000000"/>
                <w:sz w:val="21"/>
                <w:szCs w:val="21"/>
              </w:rPr>
            </w:pPr>
            <w:r w:rsidRPr="00052779">
              <w:rPr>
                <w:b/>
                <w:i/>
                <w:color w:val="000000"/>
                <w:sz w:val="21"/>
                <w:szCs w:val="21"/>
              </w:rPr>
              <w:t xml:space="preserve">«За» - </w:t>
            </w:r>
            <w:r w:rsidR="005F0D41">
              <w:rPr>
                <w:b/>
                <w:i/>
                <w:color w:val="000000"/>
                <w:sz w:val="21"/>
                <w:szCs w:val="21"/>
              </w:rPr>
              <w:t xml:space="preserve">Васильев С.В., </w:t>
            </w:r>
            <w:proofErr w:type="spellStart"/>
            <w:r w:rsidR="00E20929" w:rsidRPr="00052779">
              <w:rPr>
                <w:b/>
                <w:i/>
                <w:color w:val="000000"/>
                <w:sz w:val="21"/>
                <w:szCs w:val="21"/>
              </w:rPr>
              <w:t>Коптяков</w:t>
            </w:r>
            <w:proofErr w:type="spellEnd"/>
            <w:r w:rsidR="00E20929" w:rsidRPr="00052779">
              <w:rPr>
                <w:b/>
                <w:i/>
                <w:color w:val="000000"/>
                <w:sz w:val="21"/>
                <w:szCs w:val="21"/>
              </w:rPr>
              <w:t xml:space="preserve"> С.С., </w:t>
            </w:r>
            <w:r w:rsidR="00B25D17" w:rsidRPr="00052779">
              <w:rPr>
                <w:b/>
                <w:i/>
                <w:color w:val="000000"/>
                <w:sz w:val="21"/>
                <w:szCs w:val="21"/>
              </w:rPr>
              <w:t xml:space="preserve">Гвоздев В.С., Кабанова Л.В., </w:t>
            </w:r>
            <w:proofErr w:type="spellStart"/>
            <w:r w:rsidR="005F0D41">
              <w:rPr>
                <w:b/>
                <w:i/>
                <w:color w:val="000000"/>
                <w:sz w:val="21"/>
                <w:szCs w:val="21"/>
              </w:rPr>
              <w:t>Недотко</w:t>
            </w:r>
            <w:proofErr w:type="spellEnd"/>
            <w:r w:rsidR="005F0D41">
              <w:rPr>
                <w:b/>
                <w:i/>
                <w:color w:val="000000"/>
                <w:sz w:val="21"/>
                <w:szCs w:val="21"/>
              </w:rPr>
              <w:t xml:space="preserve"> В.В.,</w:t>
            </w:r>
            <w:r w:rsidR="005F0D41" w:rsidRPr="00052779">
              <w:rPr>
                <w:b/>
                <w:i/>
                <w:color w:val="000000"/>
                <w:sz w:val="21"/>
                <w:szCs w:val="21"/>
              </w:rPr>
              <w:t xml:space="preserve"> </w:t>
            </w:r>
            <w:r w:rsidR="00BE29F6">
              <w:rPr>
                <w:b/>
                <w:i/>
                <w:color w:val="000000"/>
                <w:sz w:val="21"/>
                <w:szCs w:val="21"/>
              </w:rPr>
              <w:t>Чурилов Д. В.</w:t>
            </w:r>
            <w:r w:rsidRPr="00052779">
              <w:rPr>
                <w:b/>
                <w:i/>
                <w:color w:val="000000"/>
                <w:sz w:val="21"/>
                <w:szCs w:val="21"/>
              </w:rPr>
              <w:t>; «Против» - 0 голосов; «Воздержался» - 0 голосов.</w:t>
            </w:r>
          </w:p>
          <w:p w:rsidR="007D1455" w:rsidRDefault="007D1455" w:rsidP="007D1455">
            <w:pPr>
              <w:tabs>
                <w:tab w:val="left" w:pos="0"/>
                <w:tab w:val="left" w:pos="142"/>
                <w:tab w:val="left" w:pos="426"/>
                <w:tab w:val="left" w:pos="851"/>
              </w:tabs>
              <w:overflowPunct/>
              <w:ind w:firstLine="142"/>
              <w:jc w:val="both"/>
              <w:textAlignment w:val="auto"/>
              <w:outlineLvl w:val="2"/>
              <w:rPr>
                <w:b/>
                <w:i/>
                <w:sz w:val="21"/>
                <w:szCs w:val="21"/>
              </w:rPr>
            </w:pPr>
            <w:r w:rsidRPr="00A9330C">
              <w:rPr>
                <w:color w:val="000000"/>
                <w:sz w:val="21"/>
                <w:szCs w:val="21"/>
              </w:rPr>
              <w:t xml:space="preserve">Результаты голосования </w:t>
            </w:r>
            <w:r w:rsidRPr="00494B2D">
              <w:rPr>
                <w:color w:val="000000"/>
                <w:sz w:val="21"/>
                <w:szCs w:val="21"/>
              </w:rPr>
              <w:t>по вопросу № 9</w:t>
            </w:r>
            <w:r w:rsidRPr="00494B2D">
              <w:rPr>
                <w:sz w:val="21"/>
                <w:szCs w:val="21"/>
              </w:rPr>
              <w:t>.</w:t>
            </w:r>
            <w:r w:rsidRPr="00A9330C">
              <w:rPr>
                <w:sz w:val="21"/>
                <w:szCs w:val="21"/>
              </w:rPr>
              <w:t xml:space="preserve"> </w:t>
            </w:r>
            <w:r w:rsidRPr="00D00167">
              <w:rPr>
                <w:b/>
                <w:i/>
                <w:sz w:val="22"/>
                <w:szCs w:val="22"/>
              </w:rPr>
              <w:t xml:space="preserve">О согласии на заключение между АО «ДГК» и </w:t>
            </w:r>
            <w:r w:rsidR="00342E36" w:rsidRPr="00D00167">
              <w:rPr>
                <w:b/>
                <w:i/>
                <w:sz w:val="22"/>
                <w:szCs w:val="22"/>
              </w:rPr>
              <w:t>ПАО «</w:t>
            </w:r>
            <w:proofErr w:type="spellStart"/>
            <w:r w:rsidR="00342E36" w:rsidRPr="00D00167">
              <w:rPr>
                <w:b/>
                <w:i/>
                <w:sz w:val="22"/>
                <w:szCs w:val="22"/>
              </w:rPr>
              <w:t>РусГидро</w:t>
            </w:r>
            <w:proofErr w:type="spellEnd"/>
            <w:r w:rsidR="00342E36" w:rsidRPr="00D00167">
              <w:rPr>
                <w:b/>
                <w:i/>
                <w:sz w:val="22"/>
                <w:szCs w:val="22"/>
              </w:rPr>
              <w:t>» дополнительного соглашения №1 к договору займа от 29.12.2018 № 1010-252-39-2018, являющегося сделкой, в совершении которой имеется заинтересованность</w:t>
            </w:r>
            <w:r w:rsidRPr="00E7196B">
              <w:rPr>
                <w:b/>
                <w:i/>
                <w:sz w:val="21"/>
                <w:szCs w:val="21"/>
              </w:rPr>
              <w:t xml:space="preserve">. </w:t>
            </w:r>
          </w:p>
          <w:p w:rsidR="007D1455" w:rsidRDefault="007D1455" w:rsidP="007D1455">
            <w:pPr>
              <w:tabs>
                <w:tab w:val="left" w:pos="0"/>
                <w:tab w:val="left" w:pos="142"/>
                <w:tab w:val="left" w:pos="426"/>
                <w:tab w:val="left" w:pos="851"/>
              </w:tabs>
              <w:overflowPunct/>
              <w:ind w:firstLine="142"/>
              <w:jc w:val="both"/>
              <w:textAlignment w:val="auto"/>
              <w:outlineLvl w:val="2"/>
              <w:rPr>
                <w:b/>
                <w:i/>
                <w:color w:val="000000"/>
                <w:sz w:val="21"/>
                <w:szCs w:val="21"/>
              </w:rPr>
            </w:pPr>
            <w:r w:rsidRPr="00052779">
              <w:rPr>
                <w:b/>
                <w:i/>
                <w:color w:val="000000"/>
                <w:sz w:val="21"/>
                <w:szCs w:val="21"/>
              </w:rPr>
              <w:t xml:space="preserve">«За» - </w:t>
            </w:r>
            <w:r>
              <w:rPr>
                <w:b/>
                <w:i/>
                <w:color w:val="000000"/>
                <w:sz w:val="21"/>
                <w:szCs w:val="21"/>
              </w:rPr>
              <w:t>Васильев</w:t>
            </w:r>
            <w:r w:rsidR="005F0D41">
              <w:rPr>
                <w:b/>
                <w:i/>
                <w:color w:val="000000"/>
                <w:sz w:val="21"/>
                <w:szCs w:val="21"/>
              </w:rPr>
              <w:t xml:space="preserve"> С.В., </w:t>
            </w:r>
            <w:proofErr w:type="spellStart"/>
            <w:r w:rsidR="00E20929" w:rsidRPr="00052779">
              <w:rPr>
                <w:b/>
                <w:i/>
                <w:color w:val="000000"/>
                <w:sz w:val="21"/>
                <w:szCs w:val="21"/>
              </w:rPr>
              <w:t>Коптяков</w:t>
            </w:r>
            <w:proofErr w:type="spellEnd"/>
            <w:r w:rsidR="00E20929" w:rsidRPr="00052779">
              <w:rPr>
                <w:b/>
                <w:i/>
                <w:color w:val="000000"/>
                <w:sz w:val="21"/>
                <w:szCs w:val="21"/>
              </w:rPr>
              <w:t xml:space="preserve"> С.С., </w:t>
            </w:r>
            <w:r w:rsidRPr="00052779">
              <w:rPr>
                <w:b/>
                <w:i/>
                <w:color w:val="000000"/>
                <w:sz w:val="21"/>
                <w:szCs w:val="21"/>
              </w:rPr>
              <w:t xml:space="preserve">Гвоздев В.С., Кабанова Л.В., </w:t>
            </w:r>
            <w:proofErr w:type="spellStart"/>
            <w:r w:rsidR="00A504C4">
              <w:rPr>
                <w:b/>
                <w:i/>
                <w:color w:val="000000"/>
                <w:sz w:val="21"/>
                <w:szCs w:val="21"/>
              </w:rPr>
              <w:t>Недотко</w:t>
            </w:r>
            <w:proofErr w:type="spellEnd"/>
            <w:r w:rsidR="00A504C4">
              <w:rPr>
                <w:b/>
                <w:i/>
                <w:color w:val="000000"/>
                <w:sz w:val="21"/>
                <w:szCs w:val="21"/>
              </w:rPr>
              <w:t xml:space="preserve"> В.В.,</w:t>
            </w:r>
            <w:r w:rsidR="00A504C4">
              <w:rPr>
                <w:b/>
                <w:i/>
                <w:color w:val="000000"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Pr="00052779">
              <w:rPr>
                <w:b/>
                <w:i/>
                <w:color w:val="000000"/>
                <w:sz w:val="21"/>
                <w:szCs w:val="21"/>
              </w:rPr>
              <w:t>Чурилов Д. В.,</w:t>
            </w:r>
            <w:r w:rsidR="005F0D41">
              <w:rPr>
                <w:b/>
                <w:i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342E36" w:rsidRPr="00052779">
              <w:rPr>
                <w:b/>
                <w:i/>
                <w:color w:val="000000"/>
                <w:sz w:val="21"/>
                <w:szCs w:val="21"/>
              </w:rPr>
              <w:t>Шукайлов</w:t>
            </w:r>
            <w:proofErr w:type="spellEnd"/>
            <w:r w:rsidR="00342E36" w:rsidRPr="00052779">
              <w:rPr>
                <w:b/>
                <w:i/>
                <w:color w:val="000000"/>
                <w:sz w:val="21"/>
                <w:szCs w:val="21"/>
              </w:rPr>
              <w:t xml:space="preserve"> М.И.; </w:t>
            </w:r>
            <w:r w:rsidRPr="00052779">
              <w:rPr>
                <w:b/>
                <w:i/>
                <w:color w:val="000000"/>
                <w:sz w:val="21"/>
                <w:szCs w:val="21"/>
              </w:rPr>
              <w:t>«Против» - 0 голосов; «Воздержался» - 0 голосов.</w:t>
            </w:r>
          </w:p>
          <w:p w:rsidR="00342E36" w:rsidRDefault="00342E36" w:rsidP="00342E36">
            <w:pPr>
              <w:tabs>
                <w:tab w:val="left" w:pos="0"/>
                <w:tab w:val="left" w:pos="142"/>
                <w:tab w:val="left" w:pos="426"/>
                <w:tab w:val="left" w:pos="851"/>
              </w:tabs>
              <w:overflowPunct/>
              <w:ind w:firstLine="142"/>
              <w:jc w:val="both"/>
              <w:textAlignment w:val="auto"/>
              <w:outlineLvl w:val="2"/>
              <w:rPr>
                <w:b/>
                <w:i/>
                <w:sz w:val="21"/>
                <w:szCs w:val="21"/>
              </w:rPr>
            </w:pPr>
            <w:r w:rsidRPr="00A9330C">
              <w:rPr>
                <w:color w:val="000000"/>
                <w:sz w:val="21"/>
                <w:szCs w:val="21"/>
              </w:rPr>
              <w:t xml:space="preserve">Результаты голосования </w:t>
            </w:r>
            <w:r w:rsidRPr="00494B2D">
              <w:rPr>
                <w:color w:val="000000"/>
                <w:sz w:val="21"/>
                <w:szCs w:val="21"/>
              </w:rPr>
              <w:t xml:space="preserve">по вопросу № </w:t>
            </w:r>
            <w:r w:rsidR="00B14BD9" w:rsidRPr="00494B2D">
              <w:rPr>
                <w:color w:val="000000"/>
                <w:sz w:val="21"/>
                <w:szCs w:val="21"/>
              </w:rPr>
              <w:t>10</w:t>
            </w:r>
            <w:r w:rsidRPr="00494B2D">
              <w:rPr>
                <w:sz w:val="21"/>
                <w:szCs w:val="21"/>
              </w:rPr>
              <w:t xml:space="preserve">. </w:t>
            </w:r>
            <w:r w:rsidR="00B14BD9" w:rsidRPr="00D00167">
              <w:rPr>
                <w:b/>
                <w:i/>
                <w:sz w:val="22"/>
                <w:szCs w:val="22"/>
              </w:rPr>
              <w:t>О внутреннем документе АО «ДГК», регулирующим деятельность Общества в области закупок товаров, работ и услуг: О признании Методики проверки надежности (деловой репутации) и финансового состояния (устойчивости) участников закупочных процедур, проводимых АО «ДГК», утратившей силу</w:t>
            </w:r>
            <w:r w:rsidRPr="00E7196B">
              <w:rPr>
                <w:b/>
                <w:i/>
                <w:sz w:val="21"/>
                <w:szCs w:val="21"/>
              </w:rPr>
              <w:t xml:space="preserve">. </w:t>
            </w:r>
          </w:p>
          <w:p w:rsidR="00342E36" w:rsidRDefault="00342E36" w:rsidP="00342E36">
            <w:pPr>
              <w:tabs>
                <w:tab w:val="left" w:pos="0"/>
                <w:tab w:val="left" w:pos="142"/>
                <w:tab w:val="left" w:pos="426"/>
                <w:tab w:val="left" w:pos="851"/>
              </w:tabs>
              <w:overflowPunct/>
              <w:ind w:firstLine="142"/>
              <w:jc w:val="both"/>
              <w:textAlignment w:val="auto"/>
              <w:outlineLvl w:val="2"/>
              <w:rPr>
                <w:b/>
                <w:i/>
                <w:color w:val="000000"/>
                <w:sz w:val="21"/>
                <w:szCs w:val="21"/>
              </w:rPr>
            </w:pPr>
            <w:r w:rsidRPr="00052779">
              <w:rPr>
                <w:b/>
                <w:i/>
                <w:color w:val="000000"/>
                <w:sz w:val="21"/>
                <w:szCs w:val="21"/>
              </w:rPr>
              <w:t xml:space="preserve">«За» - </w:t>
            </w:r>
            <w:r>
              <w:rPr>
                <w:b/>
                <w:i/>
                <w:color w:val="000000"/>
                <w:sz w:val="21"/>
                <w:szCs w:val="21"/>
              </w:rPr>
              <w:t xml:space="preserve">Васильев С.В., </w:t>
            </w:r>
            <w:proofErr w:type="spellStart"/>
            <w:r w:rsidR="00E20929" w:rsidRPr="00052779">
              <w:rPr>
                <w:b/>
                <w:i/>
                <w:color w:val="000000"/>
                <w:sz w:val="21"/>
                <w:szCs w:val="21"/>
              </w:rPr>
              <w:t>Коптяков</w:t>
            </w:r>
            <w:proofErr w:type="spellEnd"/>
            <w:r w:rsidR="00E20929" w:rsidRPr="00052779">
              <w:rPr>
                <w:b/>
                <w:i/>
                <w:color w:val="000000"/>
                <w:sz w:val="21"/>
                <w:szCs w:val="21"/>
              </w:rPr>
              <w:t xml:space="preserve"> С.С., </w:t>
            </w:r>
            <w:r w:rsidRPr="00052779">
              <w:rPr>
                <w:b/>
                <w:i/>
                <w:color w:val="000000"/>
                <w:sz w:val="21"/>
                <w:szCs w:val="21"/>
              </w:rPr>
              <w:t xml:space="preserve">Гвоздев В.С., Кабанова Л.В., </w:t>
            </w:r>
            <w:proofErr w:type="spellStart"/>
            <w:r>
              <w:rPr>
                <w:b/>
                <w:i/>
                <w:color w:val="000000"/>
                <w:sz w:val="21"/>
                <w:szCs w:val="21"/>
              </w:rPr>
              <w:t>Недотко</w:t>
            </w:r>
            <w:proofErr w:type="spellEnd"/>
            <w:r>
              <w:rPr>
                <w:b/>
                <w:i/>
                <w:color w:val="000000"/>
                <w:sz w:val="21"/>
                <w:szCs w:val="21"/>
              </w:rPr>
              <w:t xml:space="preserve"> В.В.,</w:t>
            </w:r>
            <w:r w:rsidRPr="00052779">
              <w:rPr>
                <w:b/>
                <w:i/>
                <w:color w:val="000000"/>
                <w:sz w:val="21"/>
                <w:szCs w:val="21"/>
              </w:rPr>
              <w:t xml:space="preserve"> Чурилов Д. В., </w:t>
            </w:r>
            <w:proofErr w:type="spellStart"/>
            <w:r w:rsidRPr="00052779">
              <w:rPr>
                <w:b/>
                <w:i/>
                <w:color w:val="000000"/>
                <w:sz w:val="21"/>
                <w:szCs w:val="21"/>
              </w:rPr>
              <w:t>Шукайлов</w:t>
            </w:r>
            <w:proofErr w:type="spellEnd"/>
            <w:r w:rsidRPr="00052779">
              <w:rPr>
                <w:b/>
                <w:i/>
                <w:color w:val="000000"/>
                <w:sz w:val="21"/>
                <w:szCs w:val="21"/>
              </w:rPr>
              <w:t xml:space="preserve"> М.И.; «Против» - 0 голосов; «Воздержался» - 0 голосов.</w:t>
            </w:r>
          </w:p>
          <w:p w:rsidR="007D1455" w:rsidRDefault="007D1455" w:rsidP="00537609">
            <w:pPr>
              <w:tabs>
                <w:tab w:val="left" w:pos="0"/>
                <w:tab w:val="left" w:pos="142"/>
                <w:tab w:val="left" w:pos="426"/>
                <w:tab w:val="left" w:pos="851"/>
              </w:tabs>
              <w:overflowPunct/>
              <w:ind w:firstLine="142"/>
              <w:jc w:val="both"/>
              <w:textAlignment w:val="auto"/>
              <w:outlineLvl w:val="2"/>
              <w:rPr>
                <w:b/>
                <w:i/>
                <w:color w:val="000000"/>
                <w:sz w:val="21"/>
                <w:szCs w:val="21"/>
              </w:rPr>
            </w:pPr>
          </w:p>
          <w:p w:rsidR="00506EE9" w:rsidRPr="00A9330C" w:rsidRDefault="00056F76" w:rsidP="00292E37">
            <w:pPr>
              <w:numPr>
                <w:ilvl w:val="1"/>
                <w:numId w:val="2"/>
              </w:numPr>
              <w:tabs>
                <w:tab w:val="left" w:pos="0"/>
                <w:tab w:val="left" w:pos="142"/>
                <w:tab w:val="left" w:pos="426"/>
                <w:tab w:val="left" w:pos="851"/>
              </w:tabs>
              <w:overflowPunct/>
              <w:spacing w:before="120"/>
              <w:ind w:left="357" w:hanging="357"/>
              <w:jc w:val="both"/>
              <w:textAlignment w:val="auto"/>
              <w:outlineLvl w:val="2"/>
              <w:rPr>
                <w:b/>
                <w:i/>
                <w:color w:val="000000"/>
                <w:sz w:val="21"/>
                <w:szCs w:val="21"/>
              </w:rPr>
            </w:pPr>
            <w:r w:rsidRPr="00A9330C">
              <w:rPr>
                <w:color w:val="000000"/>
                <w:sz w:val="21"/>
                <w:szCs w:val="21"/>
              </w:rPr>
              <w:t>С</w:t>
            </w:r>
            <w:r w:rsidR="00D804B8" w:rsidRPr="00A9330C">
              <w:rPr>
                <w:color w:val="000000"/>
                <w:sz w:val="21"/>
                <w:szCs w:val="21"/>
              </w:rPr>
              <w:t>одержание решений, принятых советом директоров эмитента</w:t>
            </w:r>
            <w:r w:rsidR="00506EE9" w:rsidRPr="00A9330C">
              <w:rPr>
                <w:color w:val="000000"/>
                <w:sz w:val="21"/>
                <w:szCs w:val="21"/>
              </w:rPr>
              <w:t>.</w:t>
            </w:r>
          </w:p>
          <w:p w:rsidR="00890256" w:rsidRDefault="00B51D6D" w:rsidP="00BE29F6">
            <w:pPr>
              <w:tabs>
                <w:tab w:val="left" w:pos="0"/>
                <w:tab w:val="left" w:pos="142"/>
                <w:tab w:val="left" w:pos="426"/>
                <w:tab w:val="left" w:pos="851"/>
              </w:tabs>
              <w:overflowPunct/>
              <w:ind w:firstLine="284"/>
              <w:jc w:val="both"/>
              <w:textAlignment w:val="auto"/>
              <w:outlineLvl w:val="2"/>
              <w:rPr>
                <w:b/>
                <w:i/>
                <w:color w:val="000000"/>
                <w:sz w:val="21"/>
                <w:szCs w:val="21"/>
              </w:rPr>
            </w:pPr>
            <w:r w:rsidRPr="00A9330C">
              <w:rPr>
                <w:color w:val="000000"/>
                <w:sz w:val="21"/>
                <w:szCs w:val="21"/>
              </w:rPr>
              <w:t>По вопросу №</w:t>
            </w:r>
            <w:r w:rsidR="009266D2" w:rsidRPr="00A9330C">
              <w:rPr>
                <w:color w:val="000000"/>
                <w:sz w:val="21"/>
                <w:szCs w:val="21"/>
              </w:rPr>
              <w:t xml:space="preserve"> </w:t>
            </w:r>
            <w:r w:rsidR="00B14BD9">
              <w:rPr>
                <w:color w:val="000000"/>
                <w:sz w:val="21"/>
                <w:szCs w:val="21"/>
              </w:rPr>
              <w:t>8</w:t>
            </w:r>
            <w:r w:rsidRPr="00A9330C">
              <w:rPr>
                <w:color w:val="000000"/>
                <w:sz w:val="21"/>
                <w:szCs w:val="21"/>
              </w:rPr>
              <w:t xml:space="preserve"> принято решение:</w:t>
            </w:r>
            <w:r w:rsidR="00890256" w:rsidRPr="00A9330C">
              <w:rPr>
                <w:b/>
                <w:i/>
                <w:color w:val="000000"/>
                <w:sz w:val="21"/>
                <w:szCs w:val="21"/>
              </w:rPr>
              <w:t xml:space="preserve"> </w:t>
            </w:r>
            <w:r w:rsidR="00BE29F6" w:rsidRPr="00BE29F6">
              <w:rPr>
                <w:b/>
                <w:i/>
                <w:color w:val="000000"/>
                <w:sz w:val="21"/>
                <w:szCs w:val="21"/>
              </w:rPr>
              <w:t>Дать согласие на заключение договора добровольного медицинского страхования граждан (далее – Договор), являющегося сделкой, в совершении которой имеется заинтересованность</w:t>
            </w:r>
            <w:r w:rsidR="00890256" w:rsidRPr="00A9330C">
              <w:rPr>
                <w:b/>
                <w:i/>
                <w:color w:val="000000"/>
                <w:sz w:val="21"/>
                <w:szCs w:val="21"/>
              </w:rPr>
              <w:t>.</w:t>
            </w:r>
          </w:p>
          <w:p w:rsidR="00E7196B" w:rsidRDefault="00BE29F6" w:rsidP="00E7196B">
            <w:pPr>
              <w:tabs>
                <w:tab w:val="left" w:pos="0"/>
                <w:tab w:val="left" w:pos="142"/>
                <w:tab w:val="left" w:pos="426"/>
                <w:tab w:val="left" w:pos="851"/>
              </w:tabs>
              <w:overflowPunct/>
              <w:ind w:firstLine="284"/>
              <w:jc w:val="both"/>
              <w:textAlignment w:val="auto"/>
              <w:outlineLvl w:val="2"/>
              <w:rPr>
                <w:b/>
                <w:i/>
                <w:color w:val="000000"/>
                <w:sz w:val="21"/>
                <w:szCs w:val="21"/>
              </w:rPr>
            </w:pPr>
            <w:r w:rsidRPr="00BE29F6">
              <w:rPr>
                <w:b/>
                <w:i/>
                <w:color w:val="000000"/>
                <w:sz w:val="21"/>
                <w:szCs w:val="21"/>
              </w:rPr>
              <w:t>В соответствии с п. 16 ст. 30 Федерального закона «О рынке ценных бумаг» информация об условиях вышеуказанного договора добровольного медицинского страхования граждан, заключаемого между АО «ДГК» и САО «ВСК», не раскрывается (не предоставляется) до совершения сделки</w:t>
            </w:r>
            <w:r w:rsidR="00E7196B" w:rsidRPr="00E7196B">
              <w:rPr>
                <w:b/>
                <w:i/>
                <w:color w:val="000000"/>
                <w:sz w:val="21"/>
                <w:szCs w:val="21"/>
              </w:rPr>
              <w:t>.</w:t>
            </w:r>
          </w:p>
          <w:p w:rsidR="00BE29F6" w:rsidRDefault="00BE29F6" w:rsidP="00494B2D">
            <w:pPr>
              <w:tabs>
                <w:tab w:val="left" w:pos="0"/>
                <w:tab w:val="left" w:pos="142"/>
                <w:tab w:val="left" w:pos="426"/>
                <w:tab w:val="left" w:pos="851"/>
              </w:tabs>
              <w:overflowPunct/>
              <w:ind w:firstLine="284"/>
              <w:jc w:val="both"/>
              <w:textAlignment w:val="auto"/>
              <w:outlineLvl w:val="2"/>
              <w:rPr>
                <w:b/>
                <w:i/>
                <w:color w:val="000000"/>
                <w:sz w:val="21"/>
                <w:szCs w:val="21"/>
              </w:rPr>
            </w:pPr>
            <w:r w:rsidRPr="00A9330C">
              <w:rPr>
                <w:color w:val="000000"/>
                <w:sz w:val="21"/>
                <w:szCs w:val="21"/>
              </w:rPr>
              <w:t xml:space="preserve">По вопросу № </w:t>
            </w:r>
            <w:r>
              <w:rPr>
                <w:color w:val="000000"/>
                <w:sz w:val="21"/>
                <w:szCs w:val="21"/>
              </w:rPr>
              <w:t>9</w:t>
            </w:r>
            <w:r w:rsidRPr="00A9330C">
              <w:rPr>
                <w:color w:val="000000"/>
                <w:sz w:val="21"/>
                <w:szCs w:val="21"/>
              </w:rPr>
              <w:t xml:space="preserve"> принято решение:</w:t>
            </w:r>
            <w:r w:rsidRPr="00A9330C">
              <w:rPr>
                <w:b/>
                <w:i/>
                <w:color w:val="000000"/>
                <w:sz w:val="21"/>
                <w:szCs w:val="21"/>
              </w:rPr>
              <w:t xml:space="preserve"> </w:t>
            </w:r>
            <w:r w:rsidR="00494B2D" w:rsidRPr="00494B2D">
              <w:rPr>
                <w:b/>
                <w:i/>
                <w:color w:val="000000"/>
                <w:sz w:val="21"/>
                <w:szCs w:val="21"/>
              </w:rPr>
              <w:t>Дать согласие на заключение дополнительного соглашения №1 к договору займа от 29.12.2018 г №1010-252-39-2018 между АО «ДГК» и ПАО «</w:t>
            </w:r>
            <w:proofErr w:type="spellStart"/>
            <w:r w:rsidR="00494B2D" w:rsidRPr="00494B2D">
              <w:rPr>
                <w:b/>
                <w:i/>
                <w:color w:val="000000"/>
                <w:sz w:val="21"/>
                <w:szCs w:val="21"/>
              </w:rPr>
              <w:t>РусГидро</w:t>
            </w:r>
            <w:proofErr w:type="spellEnd"/>
            <w:r w:rsidR="00494B2D" w:rsidRPr="00494B2D">
              <w:rPr>
                <w:b/>
                <w:i/>
                <w:color w:val="000000"/>
                <w:sz w:val="21"/>
                <w:szCs w:val="21"/>
              </w:rPr>
              <w:t>», являющегося сделкой, в совершении кот</w:t>
            </w:r>
            <w:r w:rsidR="00E20929">
              <w:rPr>
                <w:b/>
                <w:i/>
                <w:color w:val="000000"/>
                <w:sz w:val="21"/>
                <w:szCs w:val="21"/>
              </w:rPr>
              <w:t>орой имеется заинтересованность</w:t>
            </w:r>
            <w:r w:rsidR="00494B2D" w:rsidRPr="00494B2D">
              <w:rPr>
                <w:b/>
                <w:i/>
                <w:color w:val="000000"/>
                <w:sz w:val="21"/>
                <w:szCs w:val="21"/>
              </w:rPr>
              <w:t>.</w:t>
            </w:r>
          </w:p>
          <w:p w:rsidR="00494B2D" w:rsidRDefault="00494B2D" w:rsidP="00494B2D">
            <w:pPr>
              <w:tabs>
                <w:tab w:val="left" w:pos="0"/>
                <w:tab w:val="left" w:pos="142"/>
                <w:tab w:val="left" w:pos="426"/>
                <w:tab w:val="left" w:pos="851"/>
              </w:tabs>
              <w:overflowPunct/>
              <w:ind w:firstLine="284"/>
              <w:jc w:val="both"/>
              <w:textAlignment w:val="auto"/>
              <w:outlineLvl w:val="2"/>
              <w:rPr>
                <w:b/>
                <w:i/>
                <w:color w:val="000000"/>
                <w:sz w:val="21"/>
                <w:szCs w:val="21"/>
              </w:rPr>
            </w:pPr>
            <w:r w:rsidRPr="00494B2D">
              <w:rPr>
                <w:b/>
                <w:i/>
                <w:color w:val="000000"/>
                <w:sz w:val="21"/>
                <w:szCs w:val="21"/>
              </w:rPr>
              <w:t>В соответствии с п. 16 ст. 30 Федерального закона «О рынке ценных бумаг» информация об условиях вышеуказанного дополнительного соглашения № 1, заключаемого между АО «ДГК» и ПАО «</w:t>
            </w:r>
            <w:proofErr w:type="spellStart"/>
            <w:r w:rsidRPr="00494B2D">
              <w:rPr>
                <w:b/>
                <w:i/>
                <w:color w:val="000000"/>
                <w:sz w:val="21"/>
                <w:szCs w:val="21"/>
              </w:rPr>
              <w:t>РусГидро</w:t>
            </w:r>
            <w:proofErr w:type="spellEnd"/>
            <w:r w:rsidRPr="00494B2D">
              <w:rPr>
                <w:b/>
                <w:i/>
                <w:color w:val="000000"/>
                <w:sz w:val="21"/>
                <w:szCs w:val="21"/>
              </w:rPr>
              <w:t>», не раскрывается (не предоставляется) до совершения сделки</w:t>
            </w:r>
            <w:r>
              <w:rPr>
                <w:b/>
                <w:i/>
                <w:color w:val="000000"/>
                <w:sz w:val="21"/>
                <w:szCs w:val="21"/>
              </w:rPr>
              <w:t>.</w:t>
            </w:r>
          </w:p>
          <w:p w:rsidR="00494B2D" w:rsidRPr="00A9330C" w:rsidRDefault="00494B2D" w:rsidP="00494B2D">
            <w:pPr>
              <w:tabs>
                <w:tab w:val="left" w:pos="0"/>
                <w:tab w:val="left" w:pos="142"/>
                <w:tab w:val="left" w:pos="426"/>
                <w:tab w:val="left" w:pos="851"/>
              </w:tabs>
              <w:overflowPunct/>
              <w:ind w:firstLine="284"/>
              <w:jc w:val="both"/>
              <w:textAlignment w:val="auto"/>
              <w:outlineLvl w:val="2"/>
              <w:rPr>
                <w:b/>
                <w:i/>
                <w:color w:val="000000"/>
                <w:sz w:val="21"/>
                <w:szCs w:val="21"/>
              </w:rPr>
            </w:pPr>
            <w:r w:rsidRPr="00A9330C">
              <w:rPr>
                <w:color w:val="000000"/>
                <w:sz w:val="21"/>
                <w:szCs w:val="21"/>
              </w:rPr>
              <w:t xml:space="preserve">По вопросу № </w:t>
            </w:r>
            <w:r>
              <w:rPr>
                <w:color w:val="000000"/>
                <w:sz w:val="21"/>
                <w:szCs w:val="21"/>
              </w:rPr>
              <w:t>10</w:t>
            </w:r>
            <w:r w:rsidRPr="00A9330C">
              <w:rPr>
                <w:color w:val="000000"/>
                <w:sz w:val="21"/>
                <w:szCs w:val="21"/>
              </w:rPr>
              <w:t xml:space="preserve"> принято решение:</w:t>
            </w:r>
            <w:r w:rsidRPr="00A9330C">
              <w:rPr>
                <w:b/>
                <w:i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494B2D">
              <w:rPr>
                <w:b/>
                <w:i/>
                <w:color w:val="000000"/>
                <w:sz w:val="21"/>
                <w:szCs w:val="21"/>
              </w:rPr>
              <w:t>С</w:t>
            </w:r>
            <w:proofErr w:type="gramEnd"/>
            <w:r w:rsidRPr="00494B2D">
              <w:rPr>
                <w:b/>
                <w:i/>
                <w:color w:val="000000"/>
                <w:sz w:val="21"/>
                <w:szCs w:val="21"/>
              </w:rPr>
              <w:t xml:space="preserve"> даты принятия настоящего решения признать утратившей силу Методику проверки надежности (деловой репутации) и финансового состояния (устойчивости) участников закупочных процедур, проводимых АО «ДГК», утвержденную Советом директоров Общества 06.02.2018 (протокол от 08.02.2018 № 16).</w:t>
            </w:r>
          </w:p>
          <w:p w:rsidR="008B722E" w:rsidRPr="00A9330C" w:rsidRDefault="00056F76" w:rsidP="008B722E">
            <w:pPr>
              <w:numPr>
                <w:ilvl w:val="1"/>
                <w:numId w:val="3"/>
              </w:numPr>
              <w:tabs>
                <w:tab w:val="left" w:pos="0"/>
                <w:tab w:val="left" w:pos="142"/>
                <w:tab w:val="left" w:pos="426"/>
              </w:tabs>
              <w:overflowPunct/>
              <w:spacing w:before="120"/>
              <w:ind w:left="0" w:firstLine="0"/>
              <w:jc w:val="both"/>
              <w:textAlignment w:val="auto"/>
              <w:outlineLvl w:val="2"/>
              <w:rPr>
                <w:b/>
                <w:i/>
                <w:color w:val="000000"/>
                <w:sz w:val="21"/>
                <w:szCs w:val="21"/>
              </w:rPr>
            </w:pPr>
            <w:r w:rsidRPr="00A9330C">
              <w:rPr>
                <w:color w:val="000000"/>
                <w:sz w:val="21"/>
                <w:szCs w:val="21"/>
              </w:rPr>
              <w:lastRenderedPageBreak/>
              <w:t>Д</w:t>
            </w:r>
            <w:r w:rsidR="00D804B8" w:rsidRPr="00A9330C">
              <w:rPr>
                <w:color w:val="000000"/>
                <w:sz w:val="21"/>
                <w:szCs w:val="21"/>
              </w:rPr>
              <w:t>ата проведения заседания совета директоров</w:t>
            </w:r>
            <w:r w:rsidRPr="00A9330C">
              <w:rPr>
                <w:color w:val="000000"/>
                <w:sz w:val="21"/>
                <w:szCs w:val="21"/>
              </w:rPr>
              <w:t xml:space="preserve"> </w:t>
            </w:r>
            <w:r w:rsidR="00D804B8" w:rsidRPr="00A9330C">
              <w:rPr>
                <w:color w:val="000000"/>
                <w:sz w:val="21"/>
                <w:szCs w:val="21"/>
              </w:rPr>
              <w:t>эмитента, на котором приняты соответствующие решения</w:t>
            </w:r>
            <w:r w:rsidRPr="00A9330C">
              <w:rPr>
                <w:color w:val="000000"/>
                <w:sz w:val="21"/>
                <w:szCs w:val="21"/>
              </w:rPr>
              <w:t>:</w:t>
            </w:r>
            <w:r w:rsidRPr="00A9330C">
              <w:rPr>
                <w:b/>
                <w:i/>
                <w:color w:val="000000"/>
                <w:sz w:val="21"/>
                <w:szCs w:val="21"/>
              </w:rPr>
              <w:t xml:space="preserve"> </w:t>
            </w:r>
            <w:r w:rsidR="00494B2D">
              <w:rPr>
                <w:b/>
                <w:i/>
                <w:color w:val="000000"/>
                <w:sz w:val="21"/>
                <w:szCs w:val="21"/>
              </w:rPr>
              <w:t>27</w:t>
            </w:r>
            <w:r w:rsidR="00055115" w:rsidRPr="00A9330C">
              <w:rPr>
                <w:b/>
                <w:i/>
                <w:color w:val="000000"/>
                <w:sz w:val="21"/>
                <w:szCs w:val="21"/>
              </w:rPr>
              <w:t>.</w:t>
            </w:r>
            <w:r w:rsidR="00E7196B">
              <w:rPr>
                <w:b/>
                <w:i/>
                <w:color w:val="000000"/>
                <w:sz w:val="21"/>
                <w:szCs w:val="21"/>
              </w:rPr>
              <w:t>12</w:t>
            </w:r>
            <w:r w:rsidR="000F7371" w:rsidRPr="00A9330C">
              <w:rPr>
                <w:b/>
                <w:i/>
                <w:color w:val="000000"/>
                <w:sz w:val="21"/>
                <w:szCs w:val="21"/>
              </w:rPr>
              <w:t>.2019</w:t>
            </w:r>
            <w:r w:rsidR="003779CD" w:rsidRPr="00A9330C">
              <w:rPr>
                <w:b/>
                <w:i/>
                <w:color w:val="000000"/>
                <w:sz w:val="21"/>
                <w:szCs w:val="21"/>
              </w:rPr>
              <w:t>.</w:t>
            </w:r>
          </w:p>
          <w:p w:rsidR="00FD4E59" w:rsidRPr="009266D2" w:rsidRDefault="00056F76" w:rsidP="00494B2D">
            <w:pPr>
              <w:numPr>
                <w:ilvl w:val="1"/>
                <w:numId w:val="3"/>
              </w:numPr>
              <w:tabs>
                <w:tab w:val="left" w:pos="0"/>
                <w:tab w:val="left" w:pos="142"/>
                <w:tab w:val="left" w:pos="426"/>
              </w:tabs>
              <w:overflowPunct/>
              <w:ind w:left="0" w:firstLine="0"/>
              <w:jc w:val="both"/>
              <w:textAlignment w:val="auto"/>
              <w:outlineLvl w:val="2"/>
              <w:rPr>
                <w:b/>
                <w:i/>
                <w:color w:val="000000"/>
                <w:sz w:val="22"/>
                <w:szCs w:val="22"/>
              </w:rPr>
            </w:pPr>
            <w:r w:rsidRPr="00A9330C">
              <w:rPr>
                <w:color w:val="000000"/>
                <w:sz w:val="21"/>
                <w:szCs w:val="21"/>
              </w:rPr>
              <w:t>Д</w:t>
            </w:r>
            <w:r w:rsidR="00D804B8" w:rsidRPr="00A9330C">
              <w:rPr>
                <w:color w:val="000000"/>
                <w:sz w:val="21"/>
                <w:szCs w:val="21"/>
              </w:rPr>
              <w:t>ата составления и номер протокола заседания совета директоров эмитента, на котором приняты соответствующие решения</w:t>
            </w:r>
            <w:r w:rsidRPr="00A9330C">
              <w:rPr>
                <w:color w:val="000000"/>
                <w:sz w:val="21"/>
                <w:szCs w:val="21"/>
              </w:rPr>
              <w:t>:</w:t>
            </w:r>
            <w:r w:rsidRPr="00A9330C">
              <w:rPr>
                <w:b/>
                <w:i/>
                <w:color w:val="000000"/>
                <w:sz w:val="21"/>
                <w:szCs w:val="21"/>
              </w:rPr>
              <w:t xml:space="preserve"> </w:t>
            </w:r>
            <w:r w:rsidR="00494B2D">
              <w:rPr>
                <w:b/>
                <w:i/>
                <w:color w:val="000000"/>
                <w:sz w:val="21"/>
                <w:szCs w:val="21"/>
              </w:rPr>
              <w:t>3</w:t>
            </w:r>
            <w:r w:rsidR="009266D2" w:rsidRPr="00A9330C">
              <w:rPr>
                <w:b/>
                <w:i/>
                <w:color w:val="000000"/>
                <w:sz w:val="21"/>
                <w:szCs w:val="21"/>
              </w:rPr>
              <w:t>0</w:t>
            </w:r>
            <w:r w:rsidR="00E7196B">
              <w:rPr>
                <w:b/>
                <w:i/>
                <w:color w:val="000000"/>
                <w:sz w:val="21"/>
                <w:szCs w:val="21"/>
              </w:rPr>
              <w:t>.12</w:t>
            </w:r>
            <w:r w:rsidR="000F7371" w:rsidRPr="00A9330C">
              <w:rPr>
                <w:b/>
                <w:i/>
                <w:color w:val="000000"/>
                <w:sz w:val="21"/>
                <w:szCs w:val="21"/>
              </w:rPr>
              <w:t>.2019</w:t>
            </w:r>
            <w:r w:rsidR="007353D9" w:rsidRPr="00A9330C">
              <w:rPr>
                <w:b/>
                <w:i/>
                <w:color w:val="000000"/>
                <w:sz w:val="21"/>
                <w:szCs w:val="21"/>
              </w:rPr>
              <w:t xml:space="preserve"> №</w:t>
            </w:r>
            <w:r w:rsidR="00112CD6">
              <w:rPr>
                <w:b/>
                <w:i/>
                <w:color w:val="000000"/>
                <w:sz w:val="22"/>
                <w:szCs w:val="22"/>
              </w:rPr>
              <w:t xml:space="preserve"> 1</w:t>
            </w:r>
            <w:r w:rsidR="00494B2D">
              <w:rPr>
                <w:b/>
                <w:i/>
                <w:color w:val="000000"/>
                <w:sz w:val="22"/>
                <w:szCs w:val="22"/>
              </w:rPr>
              <w:t>2.</w:t>
            </w:r>
          </w:p>
        </w:tc>
      </w:tr>
      <w:tr w:rsidR="006C27DF" w:rsidRPr="00506EE9" w:rsidTr="006C3E83">
        <w:trPr>
          <w:cantSplit/>
          <w:trHeight w:val="169"/>
        </w:trPr>
        <w:tc>
          <w:tcPr>
            <w:tcW w:w="10661" w:type="dxa"/>
            <w:vAlign w:val="center"/>
          </w:tcPr>
          <w:p w:rsidR="006C27DF" w:rsidRPr="00506EE9" w:rsidRDefault="006C27DF" w:rsidP="00832874">
            <w:pPr>
              <w:spacing w:before="20" w:after="80"/>
              <w:jc w:val="center"/>
              <w:rPr>
                <w:sz w:val="21"/>
                <w:szCs w:val="21"/>
              </w:rPr>
            </w:pPr>
            <w:r w:rsidRPr="00506EE9">
              <w:rPr>
                <w:sz w:val="21"/>
                <w:szCs w:val="21"/>
              </w:rPr>
              <w:lastRenderedPageBreak/>
              <w:t>3. Подпись</w:t>
            </w:r>
          </w:p>
        </w:tc>
      </w:tr>
      <w:tr w:rsidR="006C27DF" w:rsidRPr="00506EE9" w:rsidTr="006C3E83">
        <w:trPr>
          <w:trHeight w:val="1237"/>
        </w:trPr>
        <w:tc>
          <w:tcPr>
            <w:tcW w:w="10661" w:type="dxa"/>
            <w:tcBorders>
              <w:bottom w:val="single" w:sz="4" w:space="0" w:color="auto"/>
            </w:tcBorders>
          </w:tcPr>
          <w:p w:rsidR="00E7196B" w:rsidRPr="00E7196B" w:rsidRDefault="00E7196B" w:rsidP="00E7196B">
            <w:pPr>
              <w:numPr>
                <w:ilvl w:val="1"/>
                <w:numId w:val="18"/>
              </w:numPr>
              <w:ind w:left="12" w:hanging="589"/>
              <w:rPr>
                <w:b/>
                <w:i/>
                <w:sz w:val="21"/>
                <w:szCs w:val="21"/>
              </w:rPr>
            </w:pPr>
          </w:p>
          <w:p w:rsidR="00E7196B" w:rsidRPr="00433203" w:rsidRDefault="0047486C" w:rsidP="00E7196B">
            <w:pPr>
              <w:numPr>
                <w:ilvl w:val="1"/>
                <w:numId w:val="18"/>
              </w:numPr>
              <w:ind w:left="12" w:hanging="589"/>
              <w:rPr>
                <w:b/>
                <w:i/>
                <w:sz w:val="21"/>
                <w:szCs w:val="21"/>
              </w:rPr>
            </w:pPr>
            <w:r w:rsidRPr="0047486C">
              <w:rPr>
                <w:sz w:val="21"/>
                <w:szCs w:val="21"/>
              </w:rPr>
              <w:t>3.1.</w:t>
            </w:r>
            <w:r w:rsidRPr="0047486C">
              <w:rPr>
                <w:b/>
                <w:i/>
                <w:sz w:val="21"/>
                <w:szCs w:val="21"/>
              </w:rPr>
              <w:t xml:space="preserve"> </w:t>
            </w:r>
            <w:r w:rsidR="00E7196B" w:rsidRPr="00433203">
              <w:rPr>
                <w:b/>
                <w:i/>
                <w:sz w:val="21"/>
                <w:szCs w:val="21"/>
              </w:rPr>
              <w:t xml:space="preserve">Заместитель генерального директора по </w:t>
            </w:r>
          </w:p>
          <w:p w:rsidR="00E7196B" w:rsidRPr="00433203" w:rsidRDefault="00E7196B" w:rsidP="00E7196B">
            <w:pPr>
              <w:numPr>
                <w:ilvl w:val="1"/>
                <w:numId w:val="18"/>
              </w:numPr>
              <w:ind w:left="12" w:hanging="589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 xml:space="preserve">     </w:t>
            </w:r>
            <w:r w:rsidR="00494B2D">
              <w:rPr>
                <w:b/>
                <w:i/>
                <w:sz w:val="21"/>
                <w:szCs w:val="21"/>
              </w:rPr>
              <w:t xml:space="preserve">  </w:t>
            </w:r>
            <w:r w:rsidR="00494B2D">
              <w:rPr>
                <w:b/>
                <w:i/>
                <w:sz w:val="22"/>
                <w:szCs w:val="22"/>
              </w:rPr>
              <w:t xml:space="preserve">экономике и финансам                                     </w:t>
            </w:r>
            <w:r w:rsidR="00494B2D" w:rsidRPr="00C805CB">
              <w:rPr>
                <w:b/>
                <w:i/>
                <w:sz w:val="22"/>
                <w:szCs w:val="22"/>
              </w:rPr>
              <w:t xml:space="preserve">          ______________   А.</w:t>
            </w:r>
            <w:r w:rsidR="00494B2D">
              <w:rPr>
                <w:b/>
                <w:i/>
                <w:sz w:val="22"/>
                <w:szCs w:val="22"/>
              </w:rPr>
              <w:t>Г</w:t>
            </w:r>
            <w:r w:rsidR="00494B2D" w:rsidRPr="00C805CB">
              <w:rPr>
                <w:b/>
                <w:i/>
                <w:sz w:val="22"/>
                <w:szCs w:val="22"/>
              </w:rPr>
              <w:t>.</w:t>
            </w:r>
            <w:r w:rsidR="00494B2D">
              <w:rPr>
                <w:b/>
                <w:i/>
                <w:sz w:val="22"/>
                <w:szCs w:val="22"/>
              </w:rPr>
              <w:t xml:space="preserve"> Ткачук</w:t>
            </w:r>
            <w:r w:rsidR="00494B2D" w:rsidRPr="00C805CB">
              <w:rPr>
                <w:b/>
                <w:i/>
                <w:sz w:val="22"/>
                <w:szCs w:val="22"/>
              </w:rPr>
              <w:t xml:space="preserve">  </w:t>
            </w:r>
            <w:r w:rsidRPr="00433203">
              <w:rPr>
                <w:b/>
                <w:i/>
                <w:sz w:val="21"/>
                <w:szCs w:val="21"/>
              </w:rPr>
              <w:t xml:space="preserve">   </w:t>
            </w:r>
          </w:p>
          <w:p w:rsidR="00E7196B" w:rsidRPr="00BD7114" w:rsidRDefault="00E7196B" w:rsidP="00E7196B">
            <w:pPr>
              <w:rPr>
                <w:sz w:val="18"/>
                <w:szCs w:val="18"/>
              </w:rPr>
            </w:pPr>
            <w:r w:rsidRPr="00BD7114">
              <w:rPr>
                <w:b/>
                <w:i/>
                <w:sz w:val="18"/>
                <w:szCs w:val="18"/>
              </w:rPr>
              <w:t xml:space="preserve">   </w:t>
            </w:r>
            <w:r>
              <w:rPr>
                <w:b/>
                <w:i/>
                <w:sz w:val="18"/>
                <w:szCs w:val="18"/>
              </w:rPr>
              <w:t xml:space="preserve">     </w:t>
            </w:r>
            <w:r w:rsidRPr="00A35757">
              <w:rPr>
                <w:b/>
                <w:i/>
                <w:sz w:val="18"/>
                <w:szCs w:val="18"/>
              </w:rPr>
              <w:t xml:space="preserve">(по доверенности от </w:t>
            </w:r>
            <w:r>
              <w:rPr>
                <w:b/>
                <w:i/>
                <w:sz w:val="18"/>
                <w:szCs w:val="18"/>
              </w:rPr>
              <w:t>0</w:t>
            </w:r>
            <w:r w:rsidR="00494B2D">
              <w:rPr>
                <w:b/>
                <w:i/>
                <w:sz w:val="18"/>
                <w:szCs w:val="18"/>
              </w:rPr>
              <w:t>5</w:t>
            </w:r>
            <w:r>
              <w:rPr>
                <w:b/>
                <w:i/>
                <w:sz w:val="18"/>
                <w:szCs w:val="18"/>
              </w:rPr>
              <w:t>.0</w:t>
            </w:r>
            <w:r w:rsidRPr="00A35757">
              <w:rPr>
                <w:b/>
                <w:i/>
                <w:sz w:val="18"/>
                <w:szCs w:val="18"/>
              </w:rPr>
              <w:t>8.201</w:t>
            </w:r>
            <w:r>
              <w:rPr>
                <w:b/>
                <w:i/>
                <w:sz w:val="18"/>
                <w:szCs w:val="18"/>
              </w:rPr>
              <w:t>9</w:t>
            </w:r>
            <w:r w:rsidRPr="00A35757">
              <w:rPr>
                <w:b/>
                <w:i/>
                <w:sz w:val="18"/>
                <w:szCs w:val="18"/>
              </w:rPr>
              <w:t xml:space="preserve"> № 51/</w:t>
            </w:r>
            <w:r>
              <w:rPr>
                <w:b/>
                <w:i/>
                <w:sz w:val="18"/>
                <w:szCs w:val="18"/>
              </w:rPr>
              <w:t>22</w:t>
            </w:r>
            <w:r w:rsidR="00494B2D">
              <w:rPr>
                <w:b/>
                <w:i/>
                <w:sz w:val="18"/>
                <w:szCs w:val="18"/>
              </w:rPr>
              <w:t>1</w:t>
            </w:r>
            <w:r w:rsidRPr="00A35757">
              <w:rPr>
                <w:b/>
                <w:i/>
                <w:sz w:val="18"/>
                <w:szCs w:val="18"/>
              </w:rPr>
              <w:t>)</w:t>
            </w:r>
            <w:r w:rsidRPr="00BD7114">
              <w:rPr>
                <w:b/>
                <w:i/>
                <w:sz w:val="18"/>
                <w:szCs w:val="18"/>
              </w:rPr>
              <w:t xml:space="preserve">                                       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i/>
                <w:sz w:val="18"/>
                <w:szCs w:val="18"/>
              </w:rPr>
              <w:t xml:space="preserve">   </w:t>
            </w:r>
            <w:r w:rsidRPr="00BD7114">
              <w:rPr>
                <w:b/>
                <w:i/>
                <w:sz w:val="18"/>
                <w:szCs w:val="18"/>
              </w:rPr>
              <w:t>(</w:t>
            </w:r>
            <w:proofErr w:type="gramEnd"/>
            <w:r w:rsidRPr="00BD7114">
              <w:rPr>
                <w:b/>
                <w:i/>
                <w:sz w:val="18"/>
                <w:szCs w:val="18"/>
              </w:rPr>
              <w:t>подпись)</w:t>
            </w:r>
            <w:r w:rsidRPr="00BD7114">
              <w:rPr>
                <w:i/>
                <w:sz w:val="18"/>
                <w:szCs w:val="18"/>
              </w:rPr>
              <w:t xml:space="preserve">                             </w:t>
            </w:r>
          </w:p>
          <w:p w:rsidR="000F7371" w:rsidRPr="000F7371" w:rsidRDefault="00E7196B" w:rsidP="009266D2">
            <w:pPr>
              <w:rPr>
                <w:b/>
                <w:i/>
                <w:sz w:val="18"/>
                <w:szCs w:val="18"/>
              </w:rPr>
            </w:pPr>
            <w:r w:rsidRPr="00BD7114">
              <w:rPr>
                <w:b/>
                <w:i/>
                <w:sz w:val="18"/>
                <w:szCs w:val="18"/>
              </w:rPr>
              <w:t xml:space="preserve"> </w:t>
            </w:r>
          </w:p>
          <w:p w:rsidR="00441730" w:rsidRPr="00506EE9" w:rsidRDefault="006C27DF" w:rsidP="00494B2D">
            <w:pPr>
              <w:pStyle w:val="Con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r w:rsidRPr="00506EE9">
              <w:rPr>
                <w:rFonts w:ascii="Times New Roman" w:hAnsi="Times New Roman" w:cs="Times New Roman"/>
                <w:sz w:val="21"/>
                <w:szCs w:val="21"/>
              </w:rPr>
              <w:t xml:space="preserve">3.2. </w:t>
            </w:r>
            <w:r w:rsidRPr="00506EE9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Дата</w:t>
            </w:r>
            <w:r w:rsidRPr="00662AB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:</w:t>
            </w:r>
            <w:r w:rsidRPr="00662AB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A07516" w:rsidRPr="00662AB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494B2D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3</w:t>
            </w:r>
            <w:r w:rsidR="00E7196B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1 декабря</w:t>
            </w:r>
            <w:r w:rsidR="00537609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000F7371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2019</w:t>
            </w:r>
            <w:r w:rsidR="003779CD" w:rsidRPr="00662AB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662AB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года</w:t>
            </w:r>
            <w:r w:rsidRPr="00506EE9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                                </w:t>
            </w:r>
            <w:r w:rsidR="00F6578E" w:rsidRPr="00506EE9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506EE9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            </w:t>
            </w:r>
            <w:r w:rsidR="00F726F5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                       </w:t>
            </w:r>
            <w:r w:rsidRPr="00506EE9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 </w:t>
            </w:r>
            <w:r w:rsidR="00486E40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506EE9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М.П.</w:t>
            </w:r>
            <w:r w:rsidRPr="00506EE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</w:tbl>
    <w:p w:rsidR="00527112" w:rsidRPr="00055115" w:rsidRDefault="00527112" w:rsidP="00F12230">
      <w:pPr>
        <w:tabs>
          <w:tab w:val="left" w:pos="1190"/>
        </w:tabs>
        <w:rPr>
          <w:sz w:val="24"/>
        </w:rPr>
      </w:pPr>
    </w:p>
    <w:sectPr w:rsidR="00527112" w:rsidRPr="00055115" w:rsidSect="00F12230">
      <w:footerReference w:type="even" r:id="rId10"/>
      <w:footerReference w:type="default" r:id="rId11"/>
      <w:pgSz w:w="11906" w:h="16838"/>
      <w:pgMar w:top="568" w:right="567" w:bottom="284" w:left="851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66B" w:rsidRDefault="00DE266B">
      <w:r>
        <w:separator/>
      </w:r>
    </w:p>
  </w:endnote>
  <w:endnote w:type="continuationSeparator" w:id="0">
    <w:p w:rsidR="00DE266B" w:rsidRDefault="00DE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12" w:rsidRDefault="0052711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27112" w:rsidRDefault="0052711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12" w:rsidRDefault="00527112" w:rsidP="00FE68D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66B" w:rsidRDefault="00DE266B">
      <w:r>
        <w:separator/>
      </w:r>
    </w:p>
  </w:footnote>
  <w:footnote w:type="continuationSeparator" w:id="0">
    <w:p w:rsidR="00DE266B" w:rsidRDefault="00DE2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6D0"/>
    <w:multiLevelType w:val="hybridMultilevel"/>
    <w:tmpl w:val="58621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3627"/>
    <w:multiLevelType w:val="multilevel"/>
    <w:tmpl w:val="6B647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7497976"/>
    <w:multiLevelType w:val="hybridMultilevel"/>
    <w:tmpl w:val="1EC4C518"/>
    <w:lvl w:ilvl="0" w:tplc="0FEC2336">
      <w:start w:val="1"/>
      <w:numFmt w:val="decimal"/>
      <w:pStyle w:val="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7566F9C"/>
    <w:multiLevelType w:val="multilevel"/>
    <w:tmpl w:val="15DABC5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  <w:i w:val="0"/>
      </w:rPr>
    </w:lvl>
  </w:abstractNum>
  <w:abstractNum w:abstractNumId="4" w15:restartNumberingAfterBreak="0">
    <w:nsid w:val="20C610C9"/>
    <w:multiLevelType w:val="hybridMultilevel"/>
    <w:tmpl w:val="85CEA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30FC4"/>
    <w:multiLevelType w:val="hybridMultilevel"/>
    <w:tmpl w:val="C4CC455A"/>
    <w:lvl w:ilvl="0" w:tplc="FA288CA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248BB36">
      <w:numFmt w:val="none"/>
      <w:lvlText w:val=""/>
      <w:lvlJc w:val="left"/>
      <w:pPr>
        <w:tabs>
          <w:tab w:val="num" w:pos="360"/>
        </w:tabs>
      </w:pPr>
    </w:lvl>
    <w:lvl w:ilvl="2" w:tplc="9F20190A">
      <w:numFmt w:val="none"/>
      <w:lvlText w:val=""/>
      <w:lvlJc w:val="left"/>
      <w:pPr>
        <w:tabs>
          <w:tab w:val="num" w:pos="360"/>
        </w:tabs>
      </w:pPr>
    </w:lvl>
    <w:lvl w:ilvl="3" w:tplc="0A583748">
      <w:numFmt w:val="none"/>
      <w:lvlText w:val=""/>
      <w:lvlJc w:val="left"/>
      <w:pPr>
        <w:tabs>
          <w:tab w:val="num" w:pos="360"/>
        </w:tabs>
      </w:pPr>
    </w:lvl>
    <w:lvl w:ilvl="4" w:tplc="47BC6CE6">
      <w:numFmt w:val="none"/>
      <w:lvlText w:val=""/>
      <w:lvlJc w:val="left"/>
      <w:pPr>
        <w:tabs>
          <w:tab w:val="num" w:pos="360"/>
        </w:tabs>
      </w:pPr>
    </w:lvl>
    <w:lvl w:ilvl="5" w:tplc="1CC4E3AE">
      <w:numFmt w:val="none"/>
      <w:lvlText w:val=""/>
      <w:lvlJc w:val="left"/>
      <w:pPr>
        <w:tabs>
          <w:tab w:val="num" w:pos="360"/>
        </w:tabs>
      </w:pPr>
    </w:lvl>
    <w:lvl w:ilvl="6" w:tplc="2A0A1C90">
      <w:numFmt w:val="none"/>
      <w:lvlText w:val=""/>
      <w:lvlJc w:val="left"/>
      <w:pPr>
        <w:tabs>
          <w:tab w:val="num" w:pos="360"/>
        </w:tabs>
      </w:pPr>
    </w:lvl>
    <w:lvl w:ilvl="7" w:tplc="278448FE">
      <w:numFmt w:val="none"/>
      <w:lvlText w:val=""/>
      <w:lvlJc w:val="left"/>
      <w:pPr>
        <w:tabs>
          <w:tab w:val="num" w:pos="360"/>
        </w:tabs>
      </w:pPr>
    </w:lvl>
    <w:lvl w:ilvl="8" w:tplc="B28E848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A861236"/>
    <w:multiLevelType w:val="hybridMultilevel"/>
    <w:tmpl w:val="38DEF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F701B"/>
    <w:multiLevelType w:val="multilevel"/>
    <w:tmpl w:val="3DCC2A88"/>
    <w:lvl w:ilvl="0">
      <w:start w:val="3"/>
      <w:numFmt w:val="decimal"/>
      <w:lvlText w:val="%1."/>
      <w:lvlJc w:val="left"/>
      <w:pPr>
        <w:ind w:left="927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8" w15:restartNumberingAfterBreak="0">
    <w:nsid w:val="356A5FCE"/>
    <w:multiLevelType w:val="multilevel"/>
    <w:tmpl w:val="991AFC68"/>
    <w:lvl w:ilvl="0">
      <w:start w:val="1"/>
      <w:numFmt w:val="decimal"/>
      <w:pStyle w:val="a"/>
      <w:lvlText w:val="%1."/>
      <w:lvlJc w:val="left"/>
      <w:pPr>
        <w:ind w:left="0" w:firstLine="567"/>
      </w:pPr>
    </w:lvl>
    <w:lvl w:ilvl="1">
      <w:start w:val="1"/>
      <w:numFmt w:val="decimal"/>
      <w:lvlText w:val="%1.%2."/>
      <w:lvlJc w:val="left"/>
      <w:pPr>
        <w:ind w:left="2126" w:hanging="708"/>
      </w:pPr>
    </w:lvl>
    <w:lvl w:ilvl="2">
      <w:start w:val="1"/>
      <w:numFmt w:val="decimal"/>
      <w:lvlText w:val="%1.%2.%3."/>
      <w:lvlJc w:val="left"/>
      <w:pPr>
        <w:ind w:left="2835" w:hanging="708"/>
      </w:pPr>
    </w:lvl>
    <w:lvl w:ilvl="3">
      <w:start w:val="1"/>
      <w:numFmt w:val="decimal"/>
      <w:lvlText w:val="%1.%2.%3.%4."/>
      <w:lvlJc w:val="left"/>
      <w:pPr>
        <w:ind w:left="3540" w:hanging="708"/>
      </w:pPr>
    </w:lvl>
    <w:lvl w:ilvl="4">
      <w:start w:val="1"/>
      <w:numFmt w:val="decimal"/>
      <w:lvlText w:val="%1.%2.%3.%4.%5."/>
      <w:lvlJc w:val="left"/>
      <w:pPr>
        <w:ind w:left="4248" w:hanging="708"/>
      </w:pPr>
    </w:lvl>
    <w:lvl w:ilvl="5">
      <w:start w:val="1"/>
      <w:numFmt w:val="none"/>
      <w:lvlText w:val=""/>
      <w:lvlJc w:val="left"/>
    </w:lvl>
    <w:lvl w:ilvl="6">
      <w:start w:val="1"/>
      <w:numFmt w:val="decimal"/>
      <w:lvlText w:val="%1.%2.%3.%4.%5.%6.%7."/>
      <w:lvlJc w:val="left"/>
      <w:pPr>
        <w:ind w:left="5664" w:hanging="708"/>
      </w:pPr>
    </w:lvl>
    <w:lvl w:ilvl="7">
      <w:start w:val="1"/>
      <w:numFmt w:val="decimal"/>
      <w:lvlText w:val="%1.%2.%3.%4.%5.%6.%7.%8."/>
      <w:lvlJc w:val="left"/>
      <w:pPr>
        <w:ind w:left="6372" w:hanging="708"/>
      </w:pPr>
    </w:lvl>
    <w:lvl w:ilvl="8">
      <w:start w:val="1"/>
      <w:numFmt w:val="decimal"/>
      <w:lvlText w:val="%1.%2.%3.%4.%5.%6.%7.%8.%9."/>
      <w:lvlJc w:val="left"/>
      <w:pPr>
        <w:ind w:left="7080" w:hanging="708"/>
      </w:pPr>
    </w:lvl>
  </w:abstractNum>
  <w:abstractNum w:abstractNumId="9" w15:restartNumberingAfterBreak="0">
    <w:nsid w:val="3C6F2A46"/>
    <w:multiLevelType w:val="hybridMultilevel"/>
    <w:tmpl w:val="0650837E"/>
    <w:lvl w:ilvl="0" w:tplc="ADD09C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FA44774"/>
    <w:multiLevelType w:val="hybridMultilevel"/>
    <w:tmpl w:val="02C8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80E20"/>
    <w:multiLevelType w:val="multilevel"/>
    <w:tmpl w:val="ED6624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  <w:sz w:val="24"/>
      </w:rPr>
    </w:lvl>
  </w:abstractNum>
  <w:abstractNum w:abstractNumId="12" w15:restartNumberingAfterBreak="0">
    <w:nsid w:val="42561AC8"/>
    <w:multiLevelType w:val="multilevel"/>
    <w:tmpl w:val="EF8A03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b w:val="0"/>
        <w:i w:val="0"/>
      </w:rPr>
    </w:lvl>
  </w:abstractNum>
  <w:abstractNum w:abstractNumId="13" w15:restartNumberingAfterBreak="0">
    <w:nsid w:val="450F043A"/>
    <w:multiLevelType w:val="multilevel"/>
    <w:tmpl w:val="EC3C7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303739F"/>
    <w:multiLevelType w:val="hybridMultilevel"/>
    <w:tmpl w:val="3A007432"/>
    <w:lvl w:ilvl="0" w:tplc="D64474A4">
      <w:start w:val="1"/>
      <w:numFmt w:val="decimal"/>
      <w:lvlText w:val="%1."/>
      <w:lvlJc w:val="left"/>
      <w:pPr>
        <w:ind w:left="405" w:hanging="360"/>
      </w:pPr>
      <w:rPr>
        <w:rFonts w:hint="default"/>
        <w:i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580A2E94"/>
    <w:multiLevelType w:val="multilevel"/>
    <w:tmpl w:val="1924E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i w:val="0"/>
        <w:color w:val="auto"/>
      </w:rPr>
    </w:lvl>
  </w:abstractNum>
  <w:abstractNum w:abstractNumId="16" w15:restartNumberingAfterBreak="0">
    <w:nsid w:val="59304120"/>
    <w:multiLevelType w:val="hybridMultilevel"/>
    <w:tmpl w:val="63F2BF12"/>
    <w:lvl w:ilvl="0" w:tplc="3D60E2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25C26"/>
    <w:multiLevelType w:val="hybridMultilevel"/>
    <w:tmpl w:val="F1527F20"/>
    <w:lvl w:ilvl="0" w:tplc="623E4EF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1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7462BD9"/>
    <w:multiLevelType w:val="hybridMultilevel"/>
    <w:tmpl w:val="B686B81E"/>
    <w:lvl w:ilvl="0" w:tplc="52B45E5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1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A4E7DE5"/>
    <w:multiLevelType w:val="hybridMultilevel"/>
    <w:tmpl w:val="499C5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84592"/>
    <w:multiLevelType w:val="multilevel"/>
    <w:tmpl w:val="AF584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</w:rPr>
    </w:lvl>
  </w:abstractNum>
  <w:abstractNum w:abstractNumId="21" w15:restartNumberingAfterBreak="0">
    <w:nsid w:val="72D110B5"/>
    <w:multiLevelType w:val="hybridMultilevel"/>
    <w:tmpl w:val="15388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3"/>
  </w:num>
  <w:num w:numId="5">
    <w:abstractNumId w:val="5"/>
  </w:num>
  <w:num w:numId="6">
    <w:abstractNumId w:val="1"/>
  </w:num>
  <w:num w:numId="7">
    <w:abstractNumId w:val="10"/>
  </w:num>
  <w:num w:numId="8">
    <w:abstractNumId w:val="19"/>
  </w:num>
  <w:num w:numId="9">
    <w:abstractNumId w:val="14"/>
  </w:num>
  <w:num w:numId="10">
    <w:abstractNumId w:val="16"/>
  </w:num>
  <w:num w:numId="11">
    <w:abstractNumId w:val="9"/>
  </w:num>
  <w:num w:numId="12">
    <w:abstractNumId w:val="11"/>
  </w:num>
  <w:num w:numId="1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1"/>
  </w:num>
  <w:num w:numId="16">
    <w:abstractNumId w:val="4"/>
  </w:num>
  <w:num w:numId="17">
    <w:abstractNumId w:val="15"/>
  </w:num>
  <w:num w:numId="18">
    <w:abstractNumId w:val="20"/>
  </w:num>
  <w:num w:numId="19">
    <w:abstractNumId w:val="17"/>
  </w:num>
  <w:num w:numId="20">
    <w:abstractNumId w:val="18"/>
  </w:num>
  <w:num w:numId="21">
    <w:abstractNumId w:val="6"/>
  </w:num>
  <w:num w:numId="2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0E"/>
    <w:rsid w:val="00000DFD"/>
    <w:rsid w:val="00004C9A"/>
    <w:rsid w:val="00027865"/>
    <w:rsid w:val="00031C84"/>
    <w:rsid w:val="00034C66"/>
    <w:rsid w:val="00037449"/>
    <w:rsid w:val="00043A75"/>
    <w:rsid w:val="0004717E"/>
    <w:rsid w:val="00052005"/>
    <w:rsid w:val="00052779"/>
    <w:rsid w:val="0005413B"/>
    <w:rsid w:val="00055115"/>
    <w:rsid w:val="00056F76"/>
    <w:rsid w:val="00062202"/>
    <w:rsid w:val="000634D9"/>
    <w:rsid w:val="00071F3F"/>
    <w:rsid w:val="000758CE"/>
    <w:rsid w:val="000845A2"/>
    <w:rsid w:val="00087F3B"/>
    <w:rsid w:val="00095471"/>
    <w:rsid w:val="000A6ED1"/>
    <w:rsid w:val="000B4010"/>
    <w:rsid w:val="000B425A"/>
    <w:rsid w:val="000B48C5"/>
    <w:rsid w:val="000C0213"/>
    <w:rsid w:val="000C0CAB"/>
    <w:rsid w:val="000C152B"/>
    <w:rsid w:val="000C2504"/>
    <w:rsid w:val="000D34A5"/>
    <w:rsid w:val="000E5055"/>
    <w:rsid w:val="000E604A"/>
    <w:rsid w:val="000F67BD"/>
    <w:rsid w:val="000F7371"/>
    <w:rsid w:val="000F7372"/>
    <w:rsid w:val="000F7878"/>
    <w:rsid w:val="00112CD6"/>
    <w:rsid w:val="001208BA"/>
    <w:rsid w:val="001217D3"/>
    <w:rsid w:val="00125F7E"/>
    <w:rsid w:val="001338F6"/>
    <w:rsid w:val="001365A2"/>
    <w:rsid w:val="001415DD"/>
    <w:rsid w:val="00143EF6"/>
    <w:rsid w:val="00167A9A"/>
    <w:rsid w:val="00167DA0"/>
    <w:rsid w:val="001712B8"/>
    <w:rsid w:val="00173D3A"/>
    <w:rsid w:val="0017426A"/>
    <w:rsid w:val="00182B80"/>
    <w:rsid w:val="001862DE"/>
    <w:rsid w:val="00197B99"/>
    <w:rsid w:val="001A2B75"/>
    <w:rsid w:val="001A4FF9"/>
    <w:rsid w:val="001C5436"/>
    <w:rsid w:val="001D6DC9"/>
    <w:rsid w:val="001E4D4A"/>
    <w:rsid w:val="001E5D7A"/>
    <w:rsid w:val="001F0A4E"/>
    <w:rsid w:val="0020708B"/>
    <w:rsid w:val="00212E90"/>
    <w:rsid w:val="002146AF"/>
    <w:rsid w:val="00216822"/>
    <w:rsid w:val="00217030"/>
    <w:rsid w:val="00233713"/>
    <w:rsid w:val="002337BA"/>
    <w:rsid w:val="00237035"/>
    <w:rsid w:val="00240448"/>
    <w:rsid w:val="00242016"/>
    <w:rsid w:val="00243B78"/>
    <w:rsid w:val="00245F89"/>
    <w:rsid w:val="002466DF"/>
    <w:rsid w:val="00247178"/>
    <w:rsid w:val="002520E6"/>
    <w:rsid w:val="00261504"/>
    <w:rsid w:val="0027486E"/>
    <w:rsid w:val="00280EB3"/>
    <w:rsid w:val="00292E37"/>
    <w:rsid w:val="002A0DFD"/>
    <w:rsid w:val="002B209E"/>
    <w:rsid w:val="002B44AD"/>
    <w:rsid w:val="002B696B"/>
    <w:rsid w:val="002B7FC0"/>
    <w:rsid w:val="002C5DBD"/>
    <w:rsid w:val="002D1D73"/>
    <w:rsid w:val="002D7819"/>
    <w:rsid w:val="002E4B9D"/>
    <w:rsid w:val="002F0386"/>
    <w:rsid w:val="002F6470"/>
    <w:rsid w:val="003031A7"/>
    <w:rsid w:val="0030432E"/>
    <w:rsid w:val="0030698C"/>
    <w:rsid w:val="00314CA7"/>
    <w:rsid w:val="00316BAD"/>
    <w:rsid w:val="0031722D"/>
    <w:rsid w:val="003242A9"/>
    <w:rsid w:val="00333DBF"/>
    <w:rsid w:val="00336ACD"/>
    <w:rsid w:val="00341AE6"/>
    <w:rsid w:val="00342E36"/>
    <w:rsid w:val="0034452C"/>
    <w:rsid w:val="0035604F"/>
    <w:rsid w:val="00362D7B"/>
    <w:rsid w:val="0036387E"/>
    <w:rsid w:val="003658AA"/>
    <w:rsid w:val="00374FFA"/>
    <w:rsid w:val="003755D8"/>
    <w:rsid w:val="003779CD"/>
    <w:rsid w:val="00380C37"/>
    <w:rsid w:val="00385132"/>
    <w:rsid w:val="00396BBE"/>
    <w:rsid w:val="003A0D6C"/>
    <w:rsid w:val="003A57A9"/>
    <w:rsid w:val="003B4EB9"/>
    <w:rsid w:val="003D4548"/>
    <w:rsid w:val="00402357"/>
    <w:rsid w:val="00407978"/>
    <w:rsid w:val="00410747"/>
    <w:rsid w:val="00411A0E"/>
    <w:rsid w:val="00412D7C"/>
    <w:rsid w:val="004218DA"/>
    <w:rsid w:val="00432878"/>
    <w:rsid w:val="00436A85"/>
    <w:rsid w:val="00437B68"/>
    <w:rsid w:val="004414D1"/>
    <w:rsid w:val="00441730"/>
    <w:rsid w:val="00446D5C"/>
    <w:rsid w:val="00457D5E"/>
    <w:rsid w:val="00460A5A"/>
    <w:rsid w:val="00464954"/>
    <w:rsid w:val="004657F7"/>
    <w:rsid w:val="00467973"/>
    <w:rsid w:val="00470EE1"/>
    <w:rsid w:val="00474138"/>
    <w:rsid w:val="00474716"/>
    <w:rsid w:val="0047486C"/>
    <w:rsid w:val="00481925"/>
    <w:rsid w:val="00486E40"/>
    <w:rsid w:val="0049092A"/>
    <w:rsid w:val="00494B2D"/>
    <w:rsid w:val="004A201F"/>
    <w:rsid w:val="004B1DE4"/>
    <w:rsid w:val="004B2C21"/>
    <w:rsid w:val="004B57F1"/>
    <w:rsid w:val="004B5BCD"/>
    <w:rsid w:val="004C052D"/>
    <w:rsid w:val="004C3941"/>
    <w:rsid w:val="004D6022"/>
    <w:rsid w:val="004D6FB4"/>
    <w:rsid w:val="004E1EC3"/>
    <w:rsid w:val="004E557C"/>
    <w:rsid w:val="004E7E5D"/>
    <w:rsid w:val="004F0A5F"/>
    <w:rsid w:val="004F0D20"/>
    <w:rsid w:val="0050189C"/>
    <w:rsid w:val="00501A5C"/>
    <w:rsid w:val="0050416C"/>
    <w:rsid w:val="00506EE9"/>
    <w:rsid w:val="00511939"/>
    <w:rsid w:val="00516C1C"/>
    <w:rsid w:val="00517543"/>
    <w:rsid w:val="00520500"/>
    <w:rsid w:val="00521D03"/>
    <w:rsid w:val="00527112"/>
    <w:rsid w:val="00534AAF"/>
    <w:rsid w:val="00535A86"/>
    <w:rsid w:val="00537609"/>
    <w:rsid w:val="005603D4"/>
    <w:rsid w:val="00566836"/>
    <w:rsid w:val="00571A60"/>
    <w:rsid w:val="00573F20"/>
    <w:rsid w:val="00576209"/>
    <w:rsid w:val="00581BA9"/>
    <w:rsid w:val="00590226"/>
    <w:rsid w:val="005B20CB"/>
    <w:rsid w:val="005D04B5"/>
    <w:rsid w:val="005E47D3"/>
    <w:rsid w:val="005F0D41"/>
    <w:rsid w:val="005F292E"/>
    <w:rsid w:val="005F7600"/>
    <w:rsid w:val="00605E60"/>
    <w:rsid w:val="00607DB0"/>
    <w:rsid w:val="00607EB5"/>
    <w:rsid w:val="00614B4A"/>
    <w:rsid w:val="0061662B"/>
    <w:rsid w:val="00647350"/>
    <w:rsid w:val="006541BC"/>
    <w:rsid w:val="00654779"/>
    <w:rsid w:val="00657D40"/>
    <w:rsid w:val="00662ABC"/>
    <w:rsid w:val="00664925"/>
    <w:rsid w:val="00671586"/>
    <w:rsid w:val="00671AB0"/>
    <w:rsid w:val="006725CE"/>
    <w:rsid w:val="006A7FB0"/>
    <w:rsid w:val="006B3370"/>
    <w:rsid w:val="006C2640"/>
    <w:rsid w:val="006C27DF"/>
    <w:rsid w:val="006C30DB"/>
    <w:rsid w:val="006C3E83"/>
    <w:rsid w:val="006D1B4F"/>
    <w:rsid w:val="006D2F78"/>
    <w:rsid w:val="006D306D"/>
    <w:rsid w:val="006E24FE"/>
    <w:rsid w:val="006E35DD"/>
    <w:rsid w:val="006F1FDC"/>
    <w:rsid w:val="006F4C38"/>
    <w:rsid w:val="006F64F0"/>
    <w:rsid w:val="00701D9F"/>
    <w:rsid w:val="00702ECB"/>
    <w:rsid w:val="00704571"/>
    <w:rsid w:val="00712AD5"/>
    <w:rsid w:val="007251BC"/>
    <w:rsid w:val="0072658D"/>
    <w:rsid w:val="007267B2"/>
    <w:rsid w:val="00733505"/>
    <w:rsid w:val="007353D9"/>
    <w:rsid w:val="0074439B"/>
    <w:rsid w:val="00755299"/>
    <w:rsid w:val="00772916"/>
    <w:rsid w:val="007754CC"/>
    <w:rsid w:val="00783DF6"/>
    <w:rsid w:val="00786B63"/>
    <w:rsid w:val="00787693"/>
    <w:rsid w:val="00791629"/>
    <w:rsid w:val="00792938"/>
    <w:rsid w:val="007A20BF"/>
    <w:rsid w:val="007A68B5"/>
    <w:rsid w:val="007B0B0E"/>
    <w:rsid w:val="007B30C1"/>
    <w:rsid w:val="007B792F"/>
    <w:rsid w:val="007C005E"/>
    <w:rsid w:val="007D1455"/>
    <w:rsid w:val="007E00B6"/>
    <w:rsid w:val="007E2C42"/>
    <w:rsid w:val="007E5731"/>
    <w:rsid w:val="007F1CFE"/>
    <w:rsid w:val="007F48FA"/>
    <w:rsid w:val="007F633A"/>
    <w:rsid w:val="0080157C"/>
    <w:rsid w:val="00811C3F"/>
    <w:rsid w:val="00811D98"/>
    <w:rsid w:val="00811DE5"/>
    <w:rsid w:val="008126E8"/>
    <w:rsid w:val="00814192"/>
    <w:rsid w:val="0081728B"/>
    <w:rsid w:val="00832874"/>
    <w:rsid w:val="00834BCB"/>
    <w:rsid w:val="00842218"/>
    <w:rsid w:val="00844599"/>
    <w:rsid w:val="00845C5B"/>
    <w:rsid w:val="00847ABA"/>
    <w:rsid w:val="00852F24"/>
    <w:rsid w:val="00865ED4"/>
    <w:rsid w:val="00873A9E"/>
    <w:rsid w:val="00875683"/>
    <w:rsid w:val="00885F85"/>
    <w:rsid w:val="00890256"/>
    <w:rsid w:val="00892C01"/>
    <w:rsid w:val="00897373"/>
    <w:rsid w:val="008A29D0"/>
    <w:rsid w:val="008B1767"/>
    <w:rsid w:val="008B722E"/>
    <w:rsid w:val="008B7DB3"/>
    <w:rsid w:val="008F2D53"/>
    <w:rsid w:val="008F4E9C"/>
    <w:rsid w:val="008F5163"/>
    <w:rsid w:val="008F7B4A"/>
    <w:rsid w:val="00917C85"/>
    <w:rsid w:val="0092003C"/>
    <w:rsid w:val="009266D2"/>
    <w:rsid w:val="00933A51"/>
    <w:rsid w:val="009347EE"/>
    <w:rsid w:val="00940CEB"/>
    <w:rsid w:val="00960124"/>
    <w:rsid w:val="00965F5A"/>
    <w:rsid w:val="009662E0"/>
    <w:rsid w:val="009743A2"/>
    <w:rsid w:val="00974D21"/>
    <w:rsid w:val="00981593"/>
    <w:rsid w:val="009A17EA"/>
    <w:rsid w:val="009B26C3"/>
    <w:rsid w:val="009B3E8A"/>
    <w:rsid w:val="009D3309"/>
    <w:rsid w:val="009D3EE4"/>
    <w:rsid w:val="009D3FBE"/>
    <w:rsid w:val="009F2BFB"/>
    <w:rsid w:val="009F49FA"/>
    <w:rsid w:val="009F61BB"/>
    <w:rsid w:val="009F634D"/>
    <w:rsid w:val="00A01596"/>
    <w:rsid w:val="00A028A6"/>
    <w:rsid w:val="00A07516"/>
    <w:rsid w:val="00A260B5"/>
    <w:rsid w:val="00A27AD8"/>
    <w:rsid w:val="00A3012B"/>
    <w:rsid w:val="00A31327"/>
    <w:rsid w:val="00A33537"/>
    <w:rsid w:val="00A42716"/>
    <w:rsid w:val="00A504C4"/>
    <w:rsid w:val="00A617EB"/>
    <w:rsid w:val="00A61866"/>
    <w:rsid w:val="00A9330C"/>
    <w:rsid w:val="00AA5ADC"/>
    <w:rsid w:val="00AA65D6"/>
    <w:rsid w:val="00AB35A1"/>
    <w:rsid w:val="00AB5EE0"/>
    <w:rsid w:val="00AB7524"/>
    <w:rsid w:val="00AC0495"/>
    <w:rsid w:val="00AC0D35"/>
    <w:rsid w:val="00AD2495"/>
    <w:rsid w:val="00AE1336"/>
    <w:rsid w:val="00AF289C"/>
    <w:rsid w:val="00AF33A4"/>
    <w:rsid w:val="00AF3C14"/>
    <w:rsid w:val="00B0113B"/>
    <w:rsid w:val="00B017E9"/>
    <w:rsid w:val="00B0651D"/>
    <w:rsid w:val="00B14BD9"/>
    <w:rsid w:val="00B156AD"/>
    <w:rsid w:val="00B25D17"/>
    <w:rsid w:val="00B4215B"/>
    <w:rsid w:val="00B50C8E"/>
    <w:rsid w:val="00B515BB"/>
    <w:rsid w:val="00B51D6D"/>
    <w:rsid w:val="00B55DE9"/>
    <w:rsid w:val="00B65685"/>
    <w:rsid w:val="00B7776A"/>
    <w:rsid w:val="00B90383"/>
    <w:rsid w:val="00BA52D1"/>
    <w:rsid w:val="00BC016E"/>
    <w:rsid w:val="00BC24FF"/>
    <w:rsid w:val="00BC5A33"/>
    <w:rsid w:val="00BC6694"/>
    <w:rsid w:val="00BD74D6"/>
    <w:rsid w:val="00BE0D36"/>
    <w:rsid w:val="00BE150B"/>
    <w:rsid w:val="00BE2311"/>
    <w:rsid w:val="00BE29F6"/>
    <w:rsid w:val="00BE2B21"/>
    <w:rsid w:val="00BE4A91"/>
    <w:rsid w:val="00BE5421"/>
    <w:rsid w:val="00BE5C19"/>
    <w:rsid w:val="00BE651D"/>
    <w:rsid w:val="00BF0F0C"/>
    <w:rsid w:val="00BF3F53"/>
    <w:rsid w:val="00BF4121"/>
    <w:rsid w:val="00C03152"/>
    <w:rsid w:val="00C05397"/>
    <w:rsid w:val="00C10829"/>
    <w:rsid w:val="00C25122"/>
    <w:rsid w:val="00C44F9C"/>
    <w:rsid w:val="00C811F4"/>
    <w:rsid w:val="00C8173A"/>
    <w:rsid w:val="00C81FF8"/>
    <w:rsid w:val="00C8235D"/>
    <w:rsid w:val="00C90098"/>
    <w:rsid w:val="00C91AA8"/>
    <w:rsid w:val="00CB197F"/>
    <w:rsid w:val="00CB4BB0"/>
    <w:rsid w:val="00CE223E"/>
    <w:rsid w:val="00D10E99"/>
    <w:rsid w:val="00D13C9B"/>
    <w:rsid w:val="00D27C7D"/>
    <w:rsid w:val="00D31AAE"/>
    <w:rsid w:val="00D33117"/>
    <w:rsid w:val="00D44981"/>
    <w:rsid w:val="00D51DF4"/>
    <w:rsid w:val="00D51FE4"/>
    <w:rsid w:val="00D556EB"/>
    <w:rsid w:val="00D63B55"/>
    <w:rsid w:val="00D65035"/>
    <w:rsid w:val="00D72856"/>
    <w:rsid w:val="00D748B2"/>
    <w:rsid w:val="00D7496F"/>
    <w:rsid w:val="00D775E2"/>
    <w:rsid w:val="00D804B8"/>
    <w:rsid w:val="00D811D9"/>
    <w:rsid w:val="00D83E2D"/>
    <w:rsid w:val="00DA22AD"/>
    <w:rsid w:val="00DA360F"/>
    <w:rsid w:val="00DA4072"/>
    <w:rsid w:val="00DA4902"/>
    <w:rsid w:val="00DB0F31"/>
    <w:rsid w:val="00DB41E8"/>
    <w:rsid w:val="00DC01B9"/>
    <w:rsid w:val="00DC7A36"/>
    <w:rsid w:val="00DD3B4D"/>
    <w:rsid w:val="00DD4BE2"/>
    <w:rsid w:val="00DE266B"/>
    <w:rsid w:val="00DE4588"/>
    <w:rsid w:val="00DE5D51"/>
    <w:rsid w:val="00DF10D1"/>
    <w:rsid w:val="00DF7EEB"/>
    <w:rsid w:val="00E0054B"/>
    <w:rsid w:val="00E005C9"/>
    <w:rsid w:val="00E0326C"/>
    <w:rsid w:val="00E04B43"/>
    <w:rsid w:val="00E056EB"/>
    <w:rsid w:val="00E120C6"/>
    <w:rsid w:val="00E12CA0"/>
    <w:rsid w:val="00E15E27"/>
    <w:rsid w:val="00E1640F"/>
    <w:rsid w:val="00E20929"/>
    <w:rsid w:val="00E21DAF"/>
    <w:rsid w:val="00E24A1C"/>
    <w:rsid w:val="00E27131"/>
    <w:rsid w:val="00E30CAF"/>
    <w:rsid w:val="00E4538D"/>
    <w:rsid w:val="00E539A2"/>
    <w:rsid w:val="00E66263"/>
    <w:rsid w:val="00E70AB2"/>
    <w:rsid w:val="00E7196B"/>
    <w:rsid w:val="00E7209C"/>
    <w:rsid w:val="00E75582"/>
    <w:rsid w:val="00E7603F"/>
    <w:rsid w:val="00E84BB0"/>
    <w:rsid w:val="00E873D2"/>
    <w:rsid w:val="00E96C3E"/>
    <w:rsid w:val="00EA2604"/>
    <w:rsid w:val="00EA4601"/>
    <w:rsid w:val="00EA68C3"/>
    <w:rsid w:val="00EA6F5D"/>
    <w:rsid w:val="00EB4EBF"/>
    <w:rsid w:val="00EB7753"/>
    <w:rsid w:val="00EC1C60"/>
    <w:rsid w:val="00EC2BE6"/>
    <w:rsid w:val="00EC3A15"/>
    <w:rsid w:val="00ED7700"/>
    <w:rsid w:val="00EE6040"/>
    <w:rsid w:val="00EF1425"/>
    <w:rsid w:val="00F12230"/>
    <w:rsid w:val="00F12D89"/>
    <w:rsid w:val="00F15B49"/>
    <w:rsid w:val="00F21572"/>
    <w:rsid w:val="00F5098E"/>
    <w:rsid w:val="00F5615D"/>
    <w:rsid w:val="00F62199"/>
    <w:rsid w:val="00F6578E"/>
    <w:rsid w:val="00F726F5"/>
    <w:rsid w:val="00F834BB"/>
    <w:rsid w:val="00F8360F"/>
    <w:rsid w:val="00F838ED"/>
    <w:rsid w:val="00F856E3"/>
    <w:rsid w:val="00F869D7"/>
    <w:rsid w:val="00F975CB"/>
    <w:rsid w:val="00FA3CA2"/>
    <w:rsid w:val="00FA7A82"/>
    <w:rsid w:val="00FB16EE"/>
    <w:rsid w:val="00FB6C7D"/>
    <w:rsid w:val="00FB73F5"/>
    <w:rsid w:val="00FD026D"/>
    <w:rsid w:val="00FD4E59"/>
    <w:rsid w:val="00FD4E7A"/>
    <w:rsid w:val="00FE68D9"/>
    <w:rsid w:val="00FE7285"/>
    <w:rsid w:val="00FE7EC0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B886B"/>
  <w15:chartTrackingRefBased/>
  <w15:docId w15:val="{41C99E70-BAEA-482A-AE27-51EC1714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40448"/>
    <w:pPr>
      <w:overflowPunct w:val="0"/>
      <w:autoSpaceDE w:val="0"/>
      <w:autoSpaceDN w:val="0"/>
      <w:adjustRightInd w:val="0"/>
      <w:textAlignment w:val="baseline"/>
    </w:pPr>
  </w:style>
  <w:style w:type="paragraph" w:styleId="10">
    <w:name w:val="heading 1"/>
    <w:basedOn w:val="a0"/>
    <w:next w:val="a0"/>
    <w:qFormat/>
    <w:pPr>
      <w:keepNext/>
      <w:jc w:val="center"/>
      <w:outlineLvl w:val="0"/>
    </w:pPr>
    <w:rPr>
      <w:sz w:val="24"/>
    </w:rPr>
  </w:style>
  <w:style w:type="paragraph" w:styleId="8">
    <w:name w:val="heading 8"/>
    <w:basedOn w:val="a0"/>
    <w:next w:val="a0"/>
    <w:qFormat/>
    <w:pPr>
      <w:overflowPunct/>
      <w:autoSpaceDE/>
      <w:autoSpaceDN/>
      <w:adjustRightInd/>
      <w:spacing w:before="240" w:after="60"/>
      <w:jc w:val="both"/>
      <w:textAlignment w:val="auto"/>
      <w:outlineLvl w:val="7"/>
    </w:pPr>
    <w:rPr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 Indent"/>
    <w:basedOn w:val="a0"/>
    <w:pPr>
      <w:overflowPunct/>
      <w:adjustRightInd/>
      <w:ind w:firstLine="851"/>
      <w:textAlignment w:val="auto"/>
    </w:pPr>
    <w:rPr>
      <w:sz w:val="28"/>
      <w:szCs w:val="28"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character" w:styleId="a5">
    <w:name w:val="Hyperlink"/>
    <w:rPr>
      <w:color w:val="0000FF"/>
      <w:u w:val="single"/>
    </w:rPr>
  </w:style>
  <w:style w:type="paragraph" w:styleId="2">
    <w:name w:val="Body Text 2"/>
    <w:basedOn w:val="a0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a6">
    <w:name w:val="Body Text"/>
    <w:aliases w:val="Основной текст Знак,body text,Iniiaiie oaeno Ciae,текст таблицы,Шаблон для отчетов по оценке,Подпись1"/>
    <w:basedOn w:val="a0"/>
    <w:pPr>
      <w:overflowPunct/>
      <w:autoSpaceDE/>
      <w:autoSpaceDN/>
      <w:adjustRightInd/>
      <w:jc w:val="center"/>
      <w:textAlignment w:val="auto"/>
    </w:pPr>
    <w:rPr>
      <w:sz w:val="24"/>
    </w:rPr>
  </w:style>
  <w:style w:type="paragraph" w:styleId="20">
    <w:name w:val="Body Text Indent 2"/>
    <w:basedOn w:val="a0"/>
    <w:pPr>
      <w:overflowPunct/>
      <w:autoSpaceDE/>
      <w:autoSpaceDN/>
      <w:adjustRightInd/>
      <w:ind w:firstLine="720"/>
      <w:jc w:val="both"/>
      <w:textAlignment w:val="auto"/>
    </w:pPr>
    <w:rPr>
      <w:b/>
      <w:sz w:val="24"/>
    </w:rPr>
  </w:style>
  <w:style w:type="paragraph" w:styleId="a7">
    <w:name w:val="Block Text"/>
    <w:basedOn w:val="a0"/>
    <w:pPr>
      <w:overflowPunct/>
      <w:autoSpaceDE/>
      <w:autoSpaceDN/>
      <w:adjustRightInd/>
      <w:ind w:left="-284" w:right="-70" w:firstLine="568"/>
      <w:jc w:val="both"/>
      <w:textAlignment w:val="auto"/>
    </w:pPr>
    <w:rPr>
      <w:sz w:val="24"/>
    </w:rPr>
  </w:style>
  <w:style w:type="paragraph" w:styleId="3">
    <w:name w:val="Body Text 3"/>
    <w:basedOn w:val="a0"/>
    <w:pPr>
      <w:ind w:right="-70"/>
      <w:jc w:val="both"/>
    </w:pPr>
    <w:rPr>
      <w:rFonts w:ascii="Bookman Old Style" w:hAnsi="Bookman Old Style"/>
      <w:sz w:val="22"/>
    </w:rPr>
  </w:style>
  <w:style w:type="paragraph" w:styleId="a8">
    <w:name w:val="List Bullet"/>
    <w:basedOn w:val="a0"/>
    <w:pPr>
      <w:tabs>
        <w:tab w:val="left" w:pos="360"/>
      </w:tabs>
      <w:ind w:left="360" w:hanging="360"/>
    </w:pPr>
    <w:rPr>
      <w:sz w:val="24"/>
    </w:rPr>
  </w:style>
  <w:style w:type="paragraph" w:customStyle="1" w:styleId="21">
    <w:name w:val="Основной текст с отступом 21"/>
    <w:basedOn w:val="a0"/>
    <w:pPr>
      <w:ind w:left="720"/>
    </w:pPr>
    <w:rPr>
      <w:sz w:val="24"/>
    </w:rPr>
  </w:style>
  <w:style w:type="paragraph" w:styleId="30">
    <w:name w:val="Body Text Indent 3"/>
    <w:basedOn w:val="a0"/>
    <w:pPr>
      <w:ind w:left="284"/>
      <w:jc w:val="both"/>
    </w:pPr>
    <w:rPr>
      <w:rFonts w:ascii="Bookman Old Style" w:hAnsi="Bookman Old Style"/>
      <w:b/>
      <w:bCs/>
    </w:rPr>
  </w:style>
  <w:style w:type="paragraph" w:styleId="a9">
    <w:name w:val="footer"/>
    <w:aliases w:val="Нижний колонтитул Знак"/>
    <w:basedOn w:val="a0"/>
    <w:pPr>
      <w:tabs>
        <w:tab w:val="center" w:pos="4677"/>
        <w:tab w:val="right" w:pos="9355"/>
      </w:tabs>
    </w:pPr>
  </w:style>
  <w:style w:type="character" w:styleId="aa">
    <w:name w:val="page number"/>
    <w:basedOn w:val="a1"/>
  </w:style>
  <w:style w:type="paragraph" w:styleId="ab">
    <w:name w:val="header"/>
    <w:basedOn w:val="a0"/>
    <w:pPr>
      <w:tabs>
        <w:tab w:val="center" w:pos="4677"/>
        <w:tab w:val="right" w:pos="9355"/>
      </w:tabs>
    </w:pPr>
  </w:style>
  <w:style w:type="character" w:styleId="ac">
    <w:name w:val="FollowedHyperlink"/>
    <w:rPr>
      <w:color w:val="800080"/>
      <w:u w:val="single"/>
    </w:rPr>
  </w:style>
  <w:style w:type="paragraph" w:styleId="ad">
    <w:name w:val="Normal (Web)"/>
    <w:basedOn w:val="a0"/>
    <w:pPr>
      <w:overflowPunct/>
      <w:autoSpaceDE/>
      <w:autoSpaceDN/>
      <w:adjustRightInd/>
      <w:spacing w:before="100" w:after="100"/>
      <w:textAlignment w:val="auto"/>
    </w:pPr>
    <w:rPr>
      <w:color w:val="000000"/>
      <w:sz w:val="24"/>
    </w:rPr>
  </w:style>
  <w:style w:type="paragraph" w:customStyle="1" w:styleId="ConsPlusNonformat">
    <w:name w:val="ConsPlusNonformat"/>
    <w:rsid w:val="005668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Prefix">
    <w:name w:val="Normal Prefix"/>
    <w:rsid w:val="00566836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ae">
    <w:name w:val="Plain Text"/>
    <w:basedOn w:val="a0"/>
    <w:rsid w:val="00566836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customStyle="1" w:styleId="af">
    <w:name w:val="Знак"/>
    <w:basedOn w:val="a0"/>
    <w:rsid w:val="007F48FA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customStyle="1" w:styleId="text">
    <w:name w:val="text"/>
    <w:basedOn w:val="a0"/>
    <w:rsid w:val="00FE7EC0"/>
    <w:pPr>
      <w:overflowPunct/>
      <w:autoSpaceDE/>
      <w:autoSpaceDN/>
      <w:adjustRightInd/>
      <w:spacing w:after="150" w:line="225" w:lineRule="atLeast"/>
      <w:ind w:left="225" w:right="45" w:firstLine="225"/>
      <w:textAlignment w:val="auto"/>
    </w:pPr>
    <w:rPr>
      <w:rFonts w:ascii="Arial" w:eastAsia="Arial Unicode MS" w:hAnsi="Arial" w:cs="Arial"/>
      <w:color w:val="000000"/>
      <w:sz w:val="18"/>
      <w:szCs w:val="18"/>
    </w:rPr>
  </w:style>
  <w:style w:type="paragraph" w:customStyle="1" w:styleId="022">
    <w:name w:val="текст022"/>
    <w:basedOn w:val="a0"/>
    <w:rsid w:val="00FE7EC0"/>
    <w:pPr>
      <w:overflowPunct/>
      <w:autoSpaceDE/>
      <w:autoSpaceDN/>
      <w:adjustRightInd/>
      <w:spacing w:before="60"/>
      <w:jc w:val="both"/>
      <w:textAlignment w:val="auto"/>
    </w:pPr>
    <w:rPr>
      <w:sz w:val="22"/>
      <w:szCs w:val="22"/>
    </w:rPr>
  </w:style>
  <w:style w:type="table" w:styleId="af0">
    <w:name w:val="Table Grid"/>
    <w:basedOn w:val="a2"/>
    <w:rsid w:val="00182B8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0"/>
    <w:link w:val="af2"/>
    <w:rsid w:val="007E00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E00B6"/>
    <w:rPr>
      <w:rFonts w:ascii="Tahoma" w:hAnsi="Tahoma" w:cs="Tahoma"/>
      <w:sz w:val="16"/>
      <w:szCs w:val="16"/>
    </w:rPr>
  </w:style>
  <w:style w:type="paragraph" w:customStyle="1" w:styleId="1">
    <w:name w:val="Знак1"/>
    <w:basedOn w:val="a0"/>
    <w:rsid w:val="000B4010"/>
    <w:pPr>
      <w:numPr>
        <w:numId w:val="1"/>
      </w:num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Verdana" w:hAnsi="Verdana" w:cs="Arial"/>
      <w:lang w:val="en-US" w:eastAsia="en-US"/>
    </w:rPr>
  </w:style>
  <w:style w:type="paragraph" w:customStyle="1" w:styleId="Default">
    <w:name w:val="Default"/>
    <w:rsid w:val="00341A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aliases w:val="ПАРАГРАФ,Абзац списка2,Цветной список — акцент 11"/>
    <w:basedOn w:val="a0"/>
    <w:link w:val="af4"/>
    <w:uiPriority w:val="34"/>
    <w:qFormat/>
    <w:rsid w:val="000F7371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f4">
    <w:name w:val="Абзац списка Знак"/>
    <w:aliases w:val="ПАРАГРАФ Знак,Абзац списка2 Знак,Цветной список — акцент 11 Знак"/>
    <w:link w:val="af3"/>
    <w:uiPriority w:val="34"/>
    <w:locked/>
    <w:rsid w:val="000F7371"/>
    <w:rPr>
      <w:sz w:val="24"/>
      <w:szCs w:val="24"/>
    </w:rPr>
  </w:style>
  <w:style w:type="paragraph" w:styleId="a">
    <w:name w:val="List Number"/>
    <w:basedOn w:val="a0"/>
    <w:rsid w:val="009266D2"/>
    <w:pPr>
      <w:numPr>
        <w:numId w:val="22"/>
      </w:numPr>
      <w:overflowPunct/>
      <w:autoSpaceDE/>
      <w:autoSpaceDN/>
      <w:adjustRightInd/>
      <w:spacing w:before="60" w:line="360" w:lineRule="auto"/>
      <w:jc w:val="both"/>
      <w:textAlignment w:val="auto"/>
    </w:pPr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gk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6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3BFF7-286F-402D-9071-37FBB055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565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Unknown</Company>
  <LinksUpToDate>false</LinksUpToDate>
  <CharactersWithSpaces>4675</CharactersWithSpaces>
  <SharedDoc>false</SharedDoc>
  <HLinks>
    <vt:vector size="12" baseType="variant">
      <vt:variant>
        <vt:i4>2162803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http://www.e-disclosure.ru/portal/company.aspx?id=9644</vt:lpwstr>
      </vt:variant>
      <vt:variant>
        <vt:lpwstr/>
      </vt:variant>
      <vt:variant>
        <vt:i4>7536703</vt:i4>
      </vt:variant>
      <vt:variant>
        <vt:i4>0</vt:i4>
      </vt:variant>
      <vt:variant>
        <vt:i4>0</vt:i4>
      </vt:variant>
      <vt:variant>
        <vt:i4>5</vt:i4>
      </vt:variant>
      <vt:variant>
        <vt:lpwstr>http://www.dvgk.ru/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Uswer</dc:creator>
  <cp:keywords/>
  <cp:lastModifiedBy>Томашук Оксана Николаевна</cp:lastModifiedBy>
  <cp:revision>4</cp:revision>
  <cp:lastPrinted>2019-12-31T01:23:00Z</cp:lastPrinted>
  <dcterms:created xsi:type="dcterms:W3CDTF">2019-12-31T00:45:00Z</dcterms:created>
  <dcterms:modified xsi:type="dcterms:W3CDTF">2019-12-31T02:03:00Z</dcterms:modified>
</cp:coreProperties>
</file>