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6.xml" ContentType="application/vnd.openxmlformats-officedocument.wordprocessingml.footer+xml"/>
  <Override PartName="/word/footer24.xml" ContentType="application/vnd.openxmlformats-officedocument.wordprocessingml.footer+xml"/>
  <Override PartName="/word/footer20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9.xml" ContentType="application/vnd.openxmlformats-officedocument.wordprocessingml.footer+xml"/>
  <Override PartName="/word/footer10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11.xml" ContentType="application/vnd.openxmlformats-officedocument.wordprocessingml.footer+xml"/>
  <Override PartName="/word/footer14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21.xml" ContentType="application/vnd.openxmlformats-officedocument.wordprocessingml.footer+xml"/>
  <Override PartName="/word/footer6.xml" ContentType="application/vnd.openxmlformats-officedocument.wordprocessingml.footer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25.xml" ContentType="application/vnd.openxmlformats-officedocument.wordprocessingml.foot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128"/>
        <w:ind w:left="6237"/>
        <w:jc w:val="both"/>
      </w:pPr>
      <w:r>
        <w:t xml:space="preserve">Приложение </w:t>
      </w:r>
      <w:r/>
    </w:p>
    <w:p>
      <w:pPr>
        <w:pStyle w:val="1128"/>
        <w:ind w:left="6237"/>
        <w:jc w:val="both"/>
      </w:pPr>
      <w:r>
        <w:t xml:space="preserve">к приказу ПАО «РусГидро»</w:t>
      </w:r>
      <w:r/>
    </w:p>
    <w:p>
      <w:pPr>
        <w:pStyle w:val="1128"/>
        <w:ind w:left="6237"/>
        <w:jc w:val="both"/>
        <w:rPr>
          <w:szCs w:val="28"/>
          <w:shd w:val="clear" w:color="auto" w:fill="ffff00"/>
        </w:rPr>
      </w:pPr>
      <w:r>
        <w:t xml:space="preserve">от 03.03.2026 № 163</w:t>
      </w:r>
      <w:r>
        <w:rPr>
          <w:szCs w:val="28"/>
          <w:shd w:val="clear" w:color="auto" w:fill="ffff00"/>
        </w:rPr>
      </w:r>
    </w:p>
    <w:p>
      <w:pPr>
        <w:pStyle w:val="1128"/>
        <w:jc w:val="both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128"/>
        <w:jc w:val="both"/>
        <w:spacing w:before="120" w:after="120"/>
        <w:rPr>
          <w:szCs w:val="28"/>
          <w:shd w:val="clear" w:color="auto" w:fill="ffff00"/>
        </w:rPr>
      </w:pPr>
      <w:r>
        <w:rPr>
          <w:szCs w:val="28"/>
          <w:shd w:val="clear" w:color="auto" w:fill="ffff00"/>
        </w:rPr>
      </w:r>
      <w:r>
        <w:rPr>
          <w:szCs w:val="28"/>
          <w:shd w:val="clear" w:color="auto" w:fill="ffff00"/>
        </w:rPr>
      </w:r>
    </w:p>
    <w:p>
      <w:pPr>
        <w:pStyle w:val="1351"/>
        <w:jc w:val="left"/>
        <w:spacing w:before="0" w:after="0"/>
        <w:rPr>
          <w:rFonts w:ascii="Times New Roman" w:hAnsi="Times New Roman" w:cs="Times New Roman"/>
          <w:b w:val="0"/>
          <w:sz w:val="28"/>
          <w:szCs w:val="28"/>
          <w:shd w:val="clear" w:color="auto" w:fill="ffff00"/>
        </w:rPr>
        <w:outlineLvl w:val="9"/>
      </w:pPr>
      <w:r>
        <w:rPr>
          <w:rFonts w:ascii="Times New Roman" w:hAnsi="Times New Roman" w:cs="Times New Roman"/>
          <w:b w:val="0"/>
          <w:sz w:val="28"/>
          <w:szCs w:val="28"/>
          <w:shd w:val="clear" w:color="auto" w:fill="ffff00"/>
        </w:rPr>
      </w:r>
      <w:r>
        <w:rPr>
          <w:rFonts w:ascii="Times New Roman" w:hAnsi="Times New Roman" w:cs="Times New Roman"/>
          <w:b w:val="0"/>
          <w:sz w:val="28"/>
          <w:szCs w:val="28"/>
          <w:shd w:val="clear" w:color="auto" w:fill="ffff00"/>
        </w:rPr>
      </w:r>
    </w:p>
    <w:p>
      <w:pPr>
        <w:pStyle w:val="1351"/>
        <w:spacing w:before="0" w:after="0"/>
        <w:rPr>
          <w:rFonts w:ascii="Times New Roman" w:hAnsi="Times New Roman" w:cs="Times New Roman"/>
          <w:b w:val="0"/>
          <w:sz w:val="28"/>
          <w:szCs w:val="28"/>
        </w:rPr>
        <w:outlineLvl w:val="9"/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Положение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1351"/>
        <w:spacing w:before="0" w:after="0"/>
        <w:rPr>
          <w:rFonts w:cs="Times New Roman"/>
          <w:sz w:val="28"/>
          <w:szCs w:val="28"/>
        </w:rPr>
        <w:outlineLvl w:val="9"/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управлении системой внутреннего контроля и управления рисками </w:t>
        <w:br w:type="textWrapping" w:clear="all"/>
        <w:t xml:space="preserve">и внутренним контролем бизнес-процессов</w:t>
      </w:r>
      <w:r>
        <w:rPr>
          <w:rFonts w:cs="Times New Roman"/>
          <w:sz w:val="28"/>
          <w:szCs w:val="28"/>
        </w:rPr>
      </w:r>
      <w:r>
        <w:rPr>
          <w:rFonts w:cs="Times New Roman"/>
          <w:sz w:val="28"/>
          <w:szCs w:val="28"/>
        </w:rPr>
      </w:r>
    </w:p>
    <w:p>
      <w:pPr>
        <w:pStyle w:val="1128"/>
        <w:jc w:val="both"/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351"/>
        <w:rPr>
          <w:rFonts w:ascii="Times New Roman" w:hAnsi="Times New Roman" w:cs="Times New Roman"/>
          <w:b w:val="0"/>
          <w:sz w:val="40"/>
          <w:szCs w:val="40"/>
        </w:rPr>
        <w:outlineLvl w:val="9"/>
      </w:pPr>
      <w:r>
        <w:rPr>
          <w:rFonts w:ascii="Times New Roman" w:hAnsi="Times New Roman" w:cs="Times New Roman"/>
          <w:b w:val="0"/>
          <w:sz w:val="40"/>
          <w:szCs w:val="40"/>
        </w:rPr>
      </w:r>
      <w:r>
        <w:rPr>
          <w:rFonts w:ascii="Times New Roman" w:hAnsi="Times New Roman" w:cs="Times New Roman"/>
          <w:b w:val="0"/>
          <w:sz w:val="40"/>
          <w:szCs w:val="40"/>
        </w:rPr>
      </w:r>
    </w:p>
    <w:p>
      <w:pPr>
        <w:pStyle w:val="1128"/>
        <w:jc w:val="center"/>
        <w:pageBreakBefore/>
        <w:spacing w:before="120"/>
      </w:pPr>
      <w:r>
        <w:t xml:space="preserve">СОДЕРЖАНИЕ</w:t>
      </w:r>
      <w:r/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"_Toc223079233"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ГЛОССАРИЙ</w:t>
      </w:r>
      <w:r>
        <w:tab/>
      </w:r>
      <w:r>
        <w:fldChar w:fldCharType="begin"/>
      </w:r>
      <w:r>
        <w:instrText xml:space="preserve"> PAGEREF _Toc223079233 \h </w:instrText>
      </w:r>
      <w:r>
        <w:fldChar w:fldCharType="separate"/>
      </w:r>
      <w:r>
        <w:t xml:space="preserve">3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1"/>
        <w:tabs>
          <w:tab w:val="left" w:pos="1200" w:leader="none"/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"_Toc223079234"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Раздел I</w:t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  <w:tab/>
      </w:r>
      <w:r>
        <w:rPr>
          <w:rStyle w:val="1265"/>
        </w:rPr>
        <w:t xml:space="preserve">ОБЩИЕ ПОЛОЖЕНИЯ</w:t>
      </w:r>
      <w:r>
        <w:tab/>
      </w:r>
      <w:r>
        <w:fldChar w:fldCharType="begin"/>
      </w:r>
      <w:r>
        <w:instrText xml:space="preserve"> PAGEREF _Toc223079234 \h </w:instrText>
      </w:r>
      <w:r>
        <w:fldChar w:fldCharType="separate"/>
      </w:r>
      <w:r>
        <w:t xml:space="preserve">7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"_Toc223079235"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1.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ЦЕЛЬ, НАЗНАЧЕНИЕ ПОЛОЖЕНИЯ И ПОРЯДОК ВНЕСЕНИЯ ИЗМЕНЕНИЙ</w:t>
      </w:r>
      <w:r>
        <w:tab/>
      </w:r>
      <w:r>
        <w:fldChar w:fldCharType="begin"/>
      </w:r>
      <w:r>
        <w:instrText xml:space="preserve"> PAGEREF _Toc223079235 \h </w:instrText>
      </w:r>
      <w:r>
        <w:fldChar w:fldCharType="separate"/>
      </w:r>
      <w:r>
        <w:t xml:space="preserve">7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1"/>
        <w:tabs>
          <w:tab w:val="left" w:pos="1440" w:leader="none"/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"_Toc223079236"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Раздел II</w:t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  <w:tab/>
      </w:r>
      <w:r>
        <w:rPr>
          <w:rStyle w:val="1265"/>
        </w:rPr>
        <w:t xml:space="preserve">ОБЩЕЕ ОПИСАНИЕ ПРОЦЕССА</w:t>
      </w:r>
      <w:r>
        <w:tab/>
      </w:r>
      <w:r>
        <w:fldChar w:fldCharType="begin"/>
      </w:r>
      <w:r>
        <w:instrText xml:space="preserve"> PAGEREF _Toc223079236 \h </w:instrText>
      </w:r>
      <w:r>
        <w:fldChar w:fldCharType="separate"/>
      </w:r>
      <w:r>
        <w:t xml:space="preserve">8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"_Toc223079237"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2.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ЦЕЛИ, ЗАДАЧИ И ПРИНЦИПЫ ПРОЦЕССА</w:t>
      </w:r>
      <w:r>
        <w:tab/>
      </w:r>
      <w:r>
        <w:fldChar w:fldCharType="begin"/>
      </w:r>
      <w:r>
        <w:instrText xml:space="preserve"> PAGEREF _Toc223079237 \h </w:instrText>
      </w:r>
      <w:r>
        <w:fldChar w:fldCharType="separate"/>
      </w:r>
      <w:r>
        <w:t xml:space="preserve">8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"_Toc223079238"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3.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КЛЮЧЕВЫЕ УЧАСТНИКИ ПРОЦЕССА</w:t>
      </w:r>
      <w:r>
        <w:tab/>
      </w:r>
      <w:r>
        <w:fldChar w:fldCharType="begin"/>
      </w:r>
      <w:r>
        <w:instrText xml:space="preserve"> PAGEREF _Toc223079238 \h </w:instrText>
      </w:r>
      <w:r>
        <w:fldChar w:fldCharType="separate"/>
      </w:r>
      <w:r>
        <w:t xml:space="preserve">9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1"/>
        <w:tabs>
          <w:tab w:val="left" w:pos="1440" w:leader="none"/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"_Toc223079239"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Раздел III</w:t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  <w:tab/>
      </w:r>
      <w:r>
        <w:rPr>
          <w:rStyle w:val="1265"/>
        </w:rPr>
        <w:t xml:space="preserve">ОПИСАНИЕ СЦЕНАРИЯ «УПРАВЛЕНИЕ СИСТЕМОЙ ВНУТРЕННЕГО КОНТРОЛЯ И УПРАВЛЕНИЯ РИСКАМИ»</w:t>
      </w:r>
      <w:r>
        <w:tab/>
      </w:r>
      <w:r>
        <w:fldChar w:fldCharType="begin"/>
      </w:r>
      <w:r>
        <w:instrText xml:space="preserve"> PAGEREF _Toc223079239 \h </w:instrText>
      </w:r>
      <w:r>
        <w:fldChar w:fldCharType="separate"/>
      </w:r>
      <w:r>
        <w:t xml:space="preserve">13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"_Toc223079240"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4.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СЦЕНАРИЙ «УПРАВЛЕНИЕ СВКиУР»</w:t>
      </w:r>
      <w:r>
        <w:tab/>
      </w:r>
      <w:r>
        <w:fldChar w:fldCharType="begin"/>
      </w:r>
      <w:r>
        <w:instrText xml:space="preserve"> PAGEREF _Toc223079240 \h </w:instrText>
      </w:r>
      <w:r>
        <w:fldChar w:fldCharType="separate"/>
      </w:r>
      <w:r>
        <w:t xml:space="preserve">13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"_Toc223079241"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5.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ЭТАП «ПЛАНИРОВАНИЕ ЗАДАЧ И МЕРОПРИЯТИЙ  ПО УПРАВЛЕНИЮ И РАЗВИТИЮ СВКиУР»</w:t>
      </w:r>
      <w:r>
        <w:tab/>
        <w:tab/>
      </w:r>
      <w:r>
        <w:fldChar w:fldCharType="begin"/>
      </w:r>
      <w:r>
        <w:instrText xml:space="preserve"> PAGEREF _Toc223079241 \h </w:instrText>
      </w:r>
      <w:r>
        <w:fldChar w:fldCharType="separate"/>
      </w:r>
      <w:r>
        <w:t xml:space="preserve">13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"_Toc223079242"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6.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ЭТАП «МОНИТОРИНГ И ОЦЕНКА СОСТОЯНИЯ СВКиУР»</w:t>
      </w:r>
      <w:r>
        <w:tab/>
      </w:r>
      <w:r>
        <w:fldChar w:fldCharType="begin"/>
      </w:r>
      <w:r>
        <w:instrText xml:space="preserve"> PAGEREF _Toc223079242 \h </w:instrText>
      </w:r>
      <w:r>
        <w:fldChar w:fldCharType="separate"/>
      </w:r>
      <w:r>
        <w:t xml:space="preserve">15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1"/>
        <w:tabs>
          <w:tab w:val="left" w:pos="1440" w:leader="none"/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"_Toc223079243"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Раздел IV</w:t>
      </w:r>
      <w:r>
        <w:rPr>
          <w:rStyle w:val="1265"/>
          <w:rFonts w:ascii="Calibri" w:hAnsi="Calibri"/>
          <w:b/>
          <w:bCs/>
          <w:caps/>
          <w:sz w:val="22"/>
          <w:szCs w:val="22"/>
          <w:lang w:eastAsia="ru-RU"/>
        </w:rPr>
        <w:tab/>
      </w:r>
      <w:r>
        <w:rPr>
          <w:rStyle w:val="1265"/>
          <w:rFonts w:ascii="Calibri" w:hAnsi="Calibri"/>
          <w:b/>
          <w:bCs/>
          <w:caps/>
          <w:sz w:val="22"/>
          <w:szCs w:val="22"/>
          <w:lang w:eastAsia="ru-RU"/>
        </w:rPr>
        <w:t xml:space="preserve"> </w:t>
      </w:r>
      <w:r>
        <w:rPr>
          <w:rStyle w:val="1265"/>
        </w:rPr>
        <w:t xml:space="preserve">ОПИСАНИЕ СЦЕНАРИЯ «УПРАВЛЕНИЕ ВНУТРЕННИМ КОНТРОЛЕМ БИЗНЕС-ПРОЦЕССОВ»</w:t>
      </w:r>
      <w:r>
        <w:rPr>
          <w:rStyle w:val="1265"/>
        </w:rPr>
        <w:tab/>
      </w:r>
      <w:r>
        <w:rPr>
          <w:rStyle w:val="1265"/>
        </w:rPr>
        <w:tab/>
      </w:r>
      <w:r>
        <w:rPr>
          <w:rStyle w:val="1265"/>
        </w:rPr>
        <w:fldChar w:fldCharType="begin"/>
      </w:r>
      <w:r>
        <w:rPr>
          <w:rStyle w:val="1265"/>
        </w:rPr>
        <w:instrText xml:space="preserve"> PAGEREF _Toc223079243 \h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19</w:t>
      </w:r>
      <w:r>
        <w:rPr>
          <w:rStyle w:val="1265"/>
        </w:rP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"_Toc223079244"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7.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СЦЕНАРИЙ «УПРАВЛЕНИЕ ВНУТРЕННИМ КОНТРОЛЕМ БИЗНЕС-ПРОЦЕССОВ»</w:t>
      </w:r>
      <w:r>
        <w:tab/>
      </w:r>
      <w:r>
        <w:fldChar w:fldCharType="begin"/>
      </w:r>
      <w:r>
        <w:instrText xml:space="preserve"> PAGEREF _Toc223079244 \h </w:instrText>
      </w:r>
      <w:r>
        <w:fldChar w:fldCharType="separate"/>
      </w:r>
      <w:r>
        <w:t xml:space="preserve">19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"_Toc223079245"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8.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ЭТАП «ВЫБОР И ФОРМАЛИ</w:t>
      </w:r>
      <w:bookmarkStart w:id="0" w:name="_Hlt223325517"/>
      <w:r/>
      <w:bookmarkStart w:id="1" w:name="_Hlt223325518"/>
      <w:r>
        <w:rPr>
          <w:rStyle w:val="1265"/>
        </w:rPr>
        <w:t xml:space="preserve">З</w:t>
      </w:r>
      <w:bookmarkEnd w:id="0"/>
      <w:r/>
      <w:bookmarkEnd w:id="1"/>
      <w:r>
        <w:rPr>
          <w:rStyle w:val="1265"/>
        </w:rPr>
        <w:t xml:space="preserve">АЦИЯ КОНТРОЛЬНЫХ ПРОЦЕДУР»</w:t>
      </w:r>
      <w:r>
        <w:tab/>
      </w:r>
      <w:r>
        <w:fldChar w:fldCharType="begin"/>
      </w:r>
      <w:r>
        <w:instrText xml:space="preserve"> PAGEREF _Toc223079245 \h </w:instrText>
      </w:r>
      <w:r>
        <w:fldChar w:fldCharType="separate"/>
      </w:r>
      <w:r>
        <w:t xml:space="preserve">19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2"/>
        <w:tabs>
          <w:tab w:val="left" w:pos="1440" w:leader="none"/>
          <w:tab w:val="right" w:pos="10055" w:leader="dot"/>
        </w:tabs>
        <w:rPr>
          <w:rFonts w:ascii="Calibri" w:hAnsi="Calibri"/>
          <w:small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"_Toc223079246"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  <w:caps/>
        </w:rPr>
        <w:t xml:space="preserve">Глава 9.</w:t>
      </w:r>
      <w:r>
        <w:rPr>
          <w:rFonts w:ascii="Calibri" w:hAnsi="Calibri"/>
          <w:smallCaps w:val="0"/>
          <w:sz w:val="22"/>
          <w:szCs w:val="22"/>
          <w:lang w:eastAsia="ru-RU"/>
        </w:rPr>
        <w:tab/>
      </w:r>
      <w:r>
        <w:rPr>
          <w:rStyle w:val="1265"/>
        </w:rPr>
        <w:t xml:space="preserve">ЭТАП «МОНИТОРИНГ ВНУТРЕННЕГО КОНТРОЛЯ БИЗНЕС-ПРОЦЕССОВ»</w:t>
      </w:r>
      <w:r>
        <w:tab/>
      </w:r>
      <w:r>
        <w:fldChar w:fldCharType="begin"/>
      </w:r>
      <w:r>
        <w:instrText xml:space="preserve"> PAGEREF _Toc223079246 \h </w:instrText>
      </w:r>
      <w:r>
        <w:fldChar w:fldCharType="separate"/>
      </w:r>
      <w:r>
        <w:t xml:space="preserve">23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smallCaps w:val="0"/>
          <w:sz w:val="22"/>
          <w:szCs w:val="22"/>
          <w:lang w:eastAsia="ru-RU"/>
        </w:rPr>
      </w:r>
      <w:r>
        <w:rPr>
          <w:rFonts w:ascii="Calibri" w:hAnsi="Calibri"/>
          <w:smallCaps w:val="0"/>
          <w:sz w:val="22"/>
          <w:szCs w:val="22"/>
          <w:lang w:eastAsia="ru-RU"/>
        </w:rPr>
      </w:r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"_Toc223079247"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ПРИЛОЖЕНИЕ 1</w:t>
      </w:r>
      <w:r>
        <w:rPr>
          <w:rStyle w:val="1265"/>
        </w:rPr>
        <w:t xml:space="preserve"> </w:t>
      </w:r>
      <w:r>
        <w:rPr>
          <w:rStyle w:val="1265"/>
        </w:rPr>
        <w:t xml:space="preserve">СХЕМА ВЗАИМОДЕЙСТВИЯ УЧАСТНИКОВ СВКИУР</w:t>
      </w:r>
      <w:r>
        <w:tab/>
      </w:r>
      <w:r>
        <w:fldChar w:fldCharType="begin"/>
      </w:r>
      <w:r>
        <w:instrText xml:space="preserve"> PAGEREF _Toc223079247 \h </w:instrText>
      </w:r>
      <w:r>
        <w:fldChar w:fldCharType="separate"/>
      </w:r>
      <w:r>
        <w:t xml:space="preserve">28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"_Toc223079248"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ПРИЛОЖЕНИЕ 2</w:t>
      </w:r>
      <w:r>
        <w:rPr>
          <w:rStyle w:val="1265"/>
        </w:rPr>
        <w:t xml:space="preserve"> </w:t>
      </w:r>
      <w:r>
        <w:rPr>
          <w:rStyle w:val="1265"/>
        </w:rPr>
        <w:t xml:space="preserve">МОДЕЛИ (2-ГО И 3-ГО УРОВНЕЙ ДЕКОМПОЗИЦИИ) СЦЕНАРИЯ «УПРАВЛЕНИЕ СИСТЕМОЙ ВНУТРЕННЕГО КОНТРОЛЯ И УПРАВЛЕНИЯ РИСКАМИ»</w:t>
      </w:r>
      <w:r>
        <w:tab/>
      </w:r>
      <w:r>
        <w:fldChar w:fldCharType="begin"/>
      </w:r>
      <w:r>
        <w:instrText xml:space="preserve"> PAGEREF _Toc223079248 \h </w:instrText>
      </w:r>
      <w:r>
        <w:fldChar w:fldCharType="separate"/>
      </w:r>
      <w:r>
        <w:t xml:space="preserve">29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"_Toc223079249"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ПРИЛОЖЕНИЕ 3</w:t>
      </w:r>
      <w:r>
        <w:t xml:space="preserve"> </w:t>
      </w:r>
      <w:r>
        <w:rPr>
          <w:rStyle w:val="1265"/>
        </w:rPr>
        <w:t xml:space="preserve">МОДЕЛИ (2-ГО И 3-ГО УРОВНЕЙ ДЕКОМПОЗИЦИИ) СЦЕНАРИЯ «УПРАВЛЕНИЕ ВНУТРЕННИМ КОНТРОЛЕМ БИЗНЕС-ПРОЦЕССОВ» (ЛОГИКА ЭТАПОВ И ПРОЦЕДУР)</w:t>
      </w:r>
      <w:r>
        <w:rPr>
          <w:rStyle w:val="1265"/>
        </w:rPr>
        <w:t xml:space="preserve"> </w:t>
      </w:r>
      <w:r>
        <w:tab/>
      </w:r>
      <w:r>
        <w:fldChar w:fldCharType="begin"/>
      </w:r>
      <w:r>
        <w:instrText xml:space="preserve"> PAGEREF _Toc223079249 \h </w:instrText>
      </w:r>
      <w:r>
        <w:fldChar w:fldCharType="separate"/>
      </w:r>
      <w:r>
        <w:t xml:space="preserve">32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"_Toc223079250"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ПРИЛОЖЕНИЕ 4</w:t>
      </w:r>
      <w:r>
        <w:t xml:space="preserve"> </w:t>
      </w:r>
      <w:r>
        <w:rPr>
          <w:rStyle w:val="1265"/>
        </w:rPr>
        <w:t xml:space="preserve">КЛАССИФИКАЦИЯ КОНТРОЛЬНЫХ ПРОЦЕДУР</w:t>
      </w:r>
      <w:r>
        <w:rPr>
          <w:rStyle w:val="1265"/>
        </w:rPr>
        <w:t xml:space="preserve"> </w:t>
      </w:r>
      <w:r>
        <w:tab/>
      </w:r>
      <w:r>
        <w:fldChar w:fldCharType="begin"/>
      </w:r>
      <w:r>
        <w:instrText xml:space="preserve"> PAGEREF _Toc223079250 \h </w:instrText>
      </w:r>
      <w:r>
        <w:fldChar w:fldCharType="separate"/>
      </w:r>
      <w:r>
        <w:t xml:space="preserve">35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361"/>
        <w:tabs>
          <w:tab w:val="right" w:pos="10055" w:leader="dot"/>
        </w:tabs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>
        <w:rPr>
          <w:rStyle w:val="1265"/>
        </w:rPr>
        <w:fldChar w:fldCharType="begin"/>
      </w:r>
      <w:r>
        <w:rPr>
          <w:rStyle w:val="1265"/>
        </w:rPr>
        <w:instrText xml:space="preserve"> </w:instrText>
      </w:r>
      <w:r>
        <w:instrText xml:space="preserve">HYPERLINK \l "_Toc223079251"</w:instrText>
      </w:r>
      <w:r>
        <w:rPr>
          <w:rStyle w:val="1265"/>
        </w:rPr>
        <w:instrText xml:space="preserve"> </w:instrText>
      </w:r>
      <w:r>
        <w:rPr>
          <w:rStyle w:val="1265"/>
        </w:rPr>
        <w:fldChar w:fldCharType="separate"/>
      </w:r>
      <w:r>
        <w:rPr>
          <w:rStyle w:val="1265"/>
        </w:rPr>
        <w:t xml:space="preserve">ПРИЛОЖЕНИЕ 5</w:t>
      </w:r>
      <w:r>
        <w:rPr>
          <w:rStyle w:val="1265"/>
        </w:rPr>
        <w:t xml:space="preserve"> </w:t>
      </w:r>
      <w:r>
        <w:rPr>
          <w:rStyle w:val="1265"/>
        </w:rPr>
        <w:t xml:space="preserve">МАТРИЦА РИСКОВ И КОНТРОЛЬНЫХ ПРОЦЕДУР ПО БИЗНЕС-ПРОЦЕССУ</w:t>
      </w:r>
      <w:r>
        <w:tab/>
      </w:r>
      <w:r>
        <w:fldChar w:fldCharType="begin"/>
      </w:r>
      <w:r>
        <w:instrText xml:space="preserve"> PAGEREF _Toc223079251 \h </w:instrText>
      </w:r>
      <w:r>
        <w:fldChar w:fldCharType="separate"/>
      </w:r>
      <w:r>
        <w:t xml:space="preserve">42</w:t>
      </w:r>
      <w:r>
        <w:fldChar w:fldCharType="end"/>
      </w:r>
      <w:r>
        <w:rPr>
          <w:rStyle w:val="1265"/>
        </w:rPr>
        <w:fldChar w:fldCharType="end"/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  <w:r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r>
    </w:p>
    <w:p>
      <w:pPr>
        <w:pStyle w:val="1128"/>
        <w:rPr>
          <w:rFonts w:ascii="Calibri" w:hAnsi="Calibri" w:cs="Calibri"/>
          <w:b/>
          <w:bCs/>
          <w:smallCaps/>
          <w:sz w:val="22"/>
          <w:szCs w:val="22"/>
        </w:rPr>
      </w:pPr>
      <w:r>
        <w:fldChar w:fldCharType="end"/>
      </w:r>
      <w:r>
        <w:rPr>
          <w:rFonts w:ascii="Calibri" w:hAnsi="Calibri" w:cs="Calibri"/>
          <w:b/>
          <w:bCs/>
          <w:smallCaps/>
          <w:sz w:val="22"/>
          <w:szCs w:val="22"/>
        </w:rPr>
      </w:r>
      <w:r>
        <w:rPr>
          <w:rFonts w:ascii="Calibri" w:hAnsi="Calibri" w:cs="Calibri"/>
          <w:b/>
          <w:bCs/>
          <w:smallCaps/>
          <w:sz w:val="22"/>
          <w:szCs w:val="22"/>
        </w:rPr>
      </w:r>
    </w:p>
    <w:p>
      <w:pPr>
        <w:pStyle w:val="1129"/>
        <w:jc w:val="center"/>
        <w:keepNext/>
        <w:spacing w:before="0" w:after="240"/>
        <w:widowControl/>
      </w:pPr>
      <w:r/>
      <w:bookmarkStart w:id="2" w:name="_Toc223079233"/>
      <w:r>
        <w:rPr>
          <w:rFonts w:ascii="Times New Roman" w:hAnsi="Times New Roman" w:cs="Times New Roman"/>
          <w:b w:val="0"/>
          <w:szCs w:val="28"/>
        </w:rPr>
        <w:t xml:space="preserve">ГЛОССАРИЙ</w:t>
      </w:r>
      <w:bookmarkEnd w:id="2"/>
      <w:r/>
      <w:r/>
    </w:p>
    <w:p>
      <w:pPr>
        <w:pStyle w:val="1128"/>
        <w:ind w:left="567" w:firstLine="567"/>
        <w:jc w:val="both"/>
        <w:keepNext/>
        <w:spacing w:before="120" w:after="120" w:line="276" w:lineRule="auto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Термины и определения:</w:t>
      </w:r>
      <w:r>
        <w:rPr>
          <w:b/>
          <w:sz w:val="28"/>
          <w:szCs w:val="28"/>
        </w:rPr>
      </w:r>
    </w:p>
    <w:tbl>
      <w:tblPr>
        <w:tblStyle w:val="1133"/>
        <w:tblW w:w="0" w:type="auto"/>
        <w:tblInd w:w="341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518"/>
        <w:gridCol w:w="425"/>
        <w:gridCol w:w="6838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Бизнес-процесс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bCs/>
                <w:sz w:val="28"/>
                <w:szCs w:val="28"/>
              </w:rPr>
              <w:t xml:space="preserve">процесс (сценарий процесса) или его отдельные логические части, выделенные из функциональной деятельности в соответствии с установленными правилами в целях организации управления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и получения требуемого результата.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Владелец процесса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bCs/>
                <w:sz w:val="28"/>
                <w:szCs w:val="28"/>
              </w:rPr>
              <w:t xml:space="preserve">должностное лицо (участник процесса, роль), наделенное полномочиями и ответственностью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по управлению процессом, обеспечивающее эффективность всего комплекса работ и достижение целевых результатов в границах процесса.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Владелец этапа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bCs/>
                <w:sz w:val="28"/>
                <w:szCs w:val="28"/>
              </w:rPr>
              <w:t xml:space="preserve">должностное лицо (участник процесса, роль), наделенное владельцем процесса полномочиями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и ответственностью по управлению этапом (частью процесса), обеспечивающее эффективность всего комплекса работ и достижение целевых результатов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в границах этапа.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Внутренний контроль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непрерывный процесс, являющийся частью процесса управления, осуществляемый субъектами системы внутреннего контроля и управления рисками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и направленный на обеспечение разумной уверенности в достижении целей по следующим направлениям:</w:t>
            </w:r>
            <w:r>
              <w:rPr>
                <w:sz w:val="28"/>
                <w:szCs w:val="28"/>
              </w:rPr>
            </w:r>
          </w:p>
          <w:p>
            <w:pPr>
              <w:pStyle w:val="1128"/>
              <w:numPr>
                <w:ilvl w:val="0"/>
                <w:numId w:val="8"/>
              </w:numPr>
              <w:ind w:left="509" w:hanging="425"/>
              <w:jc w:val="both"/>
              <w:spacing w:before="120" w:after="120"/>
              <w:widowControl w:val="off"/>
              <w:tabs>
                <w:tab w:val="left" w:pos="509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эффективность и результативность деятельности;</w:t>
            </w:r>
            <w:r>
              <w:rPr>
                <w:sz w:val="28"/>
                <w:szCs w:val="28"/>
              </w:rPr>
            </w:r>
          </w:p>
          <w:p>
            <w:pPr>
              <w:pStyle w:val="1128"/>
              <w:numPr>
                <w:ilvl w:val="0"/>
                <w:numId w:val="8"/>
              </w:numPr>
              <w:ind w:left="509" w:hanging="425"/>
              <w:jc w:val="both"/>
              <w:spacing w:before="120" w:after="120"/>
              <w:widowControl w:val="off"/>
              <w:tabs>
                <w:tab w:val="left" w:pos="509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соблюдение нормативных правовых актов Российской Федерации;</w:t>
            </w:r>
            <w:r>
              <w:rPr>
                <w:sz w:val="28"/>
                <w:szCs w:val="28"/>
              </w:rPr>
            </w:r>
          </w:p>
          <w:p>
            <w:pPr>
              <w:pStyle w:val="1128"/>
              <w:numPr>
                <w:ilvl w:val="0"/>
                <w:numId w:val="8"/>
              </w:numPr>
              <w:ind w:left="509" w:hanging="425"/>
              <w:jc w:val="both"/>
              <w:spacing w:before="120" w:after="120"/>
              <w:widowControl w:val="off"/>
              <w:tabs>
                <w:tab w:val="left" w:pos="509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достоверность отчетности и надежность системы ее подготовки;</w:t>
            </w:r>
            <w:r>
              <w:rPr>
                <w:sz w:val="28"/>
                <w:szCs w:val="28"/>
              </w:rPr>
            </w:r>
          </w:p>
          <w:p>
            <w:pPr>
              <w:pStyle w:val="1128"/>
              <w:numPr>
                <w:ilvl w:val="0"/>
                <w:numId w:val="8"/>
              </w:numPr>
              <w:ind w:left="509" w:hanging="425"/>
              <w:jc w:val="both"/>
              <w:spacing w:before="120" w:after="120"/>
              <w:widowControl w:val="off"/>
              <w:tabs>
                <w:tab w:val="left" w:pos="509" w:leader="none"/>
              </w:tabs>
            </w:pPr>
            <w:r>
              <w:rPr>
                <w:sz w:val="28"/>
                <w:szCs w:val="28"/>
              </w:rPr>
              <w:t xml:space="preserve">сохранность активов и предотвращение мошенничества и незаконных действий.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Группа РусГидро (Группа)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убличное акционерное общество «Федеральная гидрогенерирующая компания </w:t>
            </w:r>
            <w:r>
              <w:rPr>
                <w:sz w:val="28"/>
                <w:szCs w:val="28"/>
              </w:rPr>
              <w:t xml:space="preserve">–</w:t>
            </w:r>
            <w:r>
              <w:rPr>
                <w:sz w:val="28"/>
                <w:szCs w:val="28"/>
              </w:rPr>
              <w:t xml:space="preserve"> РусГидро» и его подконтрольные организации.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Дизайн контрольной процедуры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описание (алгоритм) контрольной процедуры, представляющее собой последовательность определенных операций, которые должен осуществлять исполнитель контрольной процедуры для достижения ее целей.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Контроль корпоративного уровня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управленческие механизмы, котор</w:t>
            </w:r>
            <w:r>
              <w:rPr>
                <w:sz w:val="28"/>
                <w:szCs w:val="28"/>
              </w:rPr>
              <w:t xml:space="preserve">ые устанавливаются на уровне Общества и способствуют достижению целей Группы, прямо или косвенно воздействуя на риски, присущие ее деятельности, позволяют более эффективно структурировать управление внутренним контролем за счет влияния на контрольную среду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в целом и на эффективность и количество контрольных процедур процессного уровня.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Контрольные процедуры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действ</w:t>
            </w:r>
            <w:r>
              <w:rPr>
                <w:sz w:val="28"/>
                <w:szCs w:val="28"/>
              </w:rPr>
              <w:t xml:space="preserve">ия, мероприятия, автоматические операции информационных систем или их комбинация, выполняемые органами управления и работниками Группы для минимизации вероятности и / или влияния (последствий) риска или нескольких рисков одновременно до приемлемого уровня.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Ключевой показатель эффективности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  <w:lang w:val="en-US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показатель, который демонстрирует результативность деятельности структурного подразделения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за указанный период времени в соответствии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с запланированными целями.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Матрица рисков и контрольных процедур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перечень рисков бизнес-процесса с описанием соответствующих контрольных процедур и их показателей.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Общество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убличное акционерное общество «Федеральная гидрогенерирующая компания – РусГидро» (ПАО «РусГидро»), включая исполнительный аппарат, филиалы (представительства) и иные обособленные подразделения.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Операция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наименьшая логическая часть процесса, создающая определенный результат и не подлежащая дальнейшей детализации.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Подконтрольные организации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юридические лица, находящиеся под прямым или косвенным контролем Общества, имеющ</w:t>
            </w:r>
            <w:r>
              <w:rPr>
                <w:sz w:val="28"/>
                <w:szCs w:val="28"/>
              </w:rPr>
              <w:t xml:space="preserve">им право прямо или косвенно распоряжаться в силу участия в ПО более 50 процентами голосов в высшем органе управления ПО либо право назначать (избирать) единоличный исполнительный орган и (или) более 50 процентов состава коллегиального органа управления ПО.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Разумная уверенность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подход, согласно которому внутренний контроль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и уп</w:t>
            </w:r>
            <w:r>
              <w:rPr>
                <w:sz w:val="28"/>
                <w:szCs w:val="28"/>
              </w:rPr>
              <w:t xml:space="preserve">равление рисками могут предоставить только разумные гарантии достижения целей Общества, но не может дать абсолютную гарантию в силу присущих ограничений внутренней среды (например, человеческий фактор, использование принципа целесообразности внедрения КП).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Регламентирующий документ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локальный нормативный документ (акт), определяющий требования к организации процесса  или отдельных его частей.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Риск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эффект, оказываемый неопределенностью на цели Группы, где цели могут содержать различные аспекты (финансовые, безопасность, влияние на окружающую среду и другие) и различные уровни (стратегические, организационные, проектные, процессные и другие).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Риск-аппетит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величина риска в качественном или количественном выражении, который Группа готова принять в процессе реализации стратегических целей и задач.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Система внутреннего контроля и управления рисками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совокупность организационных мер, методик, процедур, норм корпоративной культуры и действий, предпринимаемых Группой для достижения оптимального баланса между ростом стоимости Группы, прибыльностью и </w:t>
            </w:r>
            <w:r>
              <w:rPr>
                <w:sz w:val="28"/>
                <w:szCs w:val="28"/>
              </w:rPr>
              <w:t xml:space="preserve">рисками, для обеспечения финансовой устойчивости Группы, эффективного ведения хозяйственной деятельности, обеспечения сохранности активов, соблюдения законодательства, уставов и внутренних документов Группы, своевременной подготовки достоверной отчетности.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Субъекты Системы внутреннего контроля и управления рисками 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bCs/>
                <w:sz w:val="28"/>
                <w:szCs w:val="28"/>
              </w:rPr>
              <w:t xml:space="preserve">субъекты системы внутреннего контроля и управления рисками Общества (Совет директоров, Комитет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по аудиту при Совете директоров, Правление, Председатель Правления - Генеральный директор, Ревизионная комиссия, менеджмент и работники, включая руководителя Департамента контроля</w:t>
            </w:r>
            <w:r>
              <w:rPr>
                <w:bCs/>
                <w:sz w:val="28"/>
                <w:szCs w:val="28"/>
              </w:rPr>
              <w:br w:type="textWrapping" w:clear="all"/>
            </w:r>
            <w:r>
              <w:rPr>
                <w:bCs/>
                <w:sz w:val="28"/>
                <w:szCs w:val="28"/>
              </w:rPr>
              <w:t xml:space="preserve">и управлению рисками, руководителя Департамента внутреннего аудита, работников Департамента конт</w:t>
            </w:r>
            <w:r>
              <w:rPr>
                <w:bCs/>
                <w:sz w:val="28"/>
                <w:szCs w:val="28"/>
              </w:rPr>
              <w:t xml:space="preserve">роля и управления рисками, Департамента внутреннего аудита), а также советы директоров, комитеты при совете директоров, исполнительные органы, ревизионные комиссии, внутренние аудиторы, менеджмент (руководители структурных подразделений ПО) и работники ПО.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Управление внутренним контролем бизнес-процессов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часть Системы внутреннего контроля и управления рисками, характеризуемая как </w:t>
            </w:r>
            <w:r>
              <w:rPr>
                <w:sz w:val="28"/>
                <w:szCs w:val="28"/>
              </w:rPr>
              <w:t xml:space="preserve">планомерная деятельность по выделению, описанию и менеджменту процедур внутреннего контроля, а также их интеграции в текущую деятельность работников Группы, которая обеспечивает разумную уверенность в достижении целей Группы в области внутреннего контроля.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18" w:type="dxa"/>
            <w:vAlign w:val="top"/>
            <w:textDirection w:val="lrTb"/>
            <w:noWrap w:val="false"/>
          </w:tcPr>
          <w:p>
            <w:pPr>
              <w:pStyle w:val="1128"/>
              <w:spacing w:before="120" w:after="120"/>
            </w:pPr>
            <w:r>
              <w:rPr>
                <w:sz w:val="28"/>
                <w:szCs w:val="28"/>
              </w:rPr>
              <w:t xml:space="preserve">Формализация процесса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3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предоставление требований к процессу и правил его реализации в форме моделей и/или регламентирующих документов.</w:t>
            </w:r>
            <w:r/>
          </w:p>
        </w:tc>
      </w:tr>
    </w:tbl>
    <w:p>
      <w:pPr>
        <w:pStyle w:val="1128"/>
        <w:ind w:left="1134" w:firstLine="567"/>
        <w:jc w:val="both"/>
        <w:keepNext/>
        <w:spacing w:before="120" w:after="120" w:line="276" w:lineRule="auto"/>
        <w:widowControl w:val="off"/>
        <w:rPr>
          <w:sz w:val="28"/>
          <w:szCs w:val="28"/>
        </w:rPr>
      </w:pPr>
      <w:r>
        <w:rPr>
          <w:b/>
          <w:sz w:val="28"/>
          <w:szCs w:val="28"/>
        </w:rPr>
        <w:t xml:space="preserve">Сокращения: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1133"/>
        <w:tblW w:w="0" w:type="auto"/>
        <w:tblInd w:w="67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485"/>
        <w:gridCol w:w="458"/>
        <w:gridCol w:w="655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ДВА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Департамент внутреннего аудита Общества.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ДКиУР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Департамент контроля и управления рисками Общества.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ДоЗ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документация о закупке.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  <w:lang w:val="en-US"/>
              </w:rPr>
              <w:t xml:space="preserve">ИС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  <w:lang w:val="en-US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информационная система.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КМ</w:t>
            </w:r>
            <w:r>
              <w:rPr>
                <w:rStyle w:val="1311"/>
                <w:sz w:val="28"/>
                <w:szCs w:val="28"/>
              </w:rPr>
              <w:footnoteReference w:id="2"/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контрольное мероприятие.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КП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контрольная процедура.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  <w:lang w:val="en-US"/>
              </w:rPr>
              <w:t xml:space="preserve">К</w:t>
            </w:r>
            <w:r>
              <w:rPr>
                <w:sz w:val="28"/>
                <w:szCs w:val="28"/>
              </w:rPr>
              <w:t xml:space="preserve">ПЭ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  <w:lang w:val="en-US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ключевой показатель эффективности.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ЛНД (А)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локальный нормативный документ (акт).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МОК</w:t>
            </w:r>
            <w:r>
              <w:rPr>
                <w:rStyle w:val="1311"/>
                <w:sz w:val="28"/>
                <w:szCs w:val="28"/>
              </w:rPr>
              <w:footnoteReference w:id="3"/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мероприятие операционного контроля.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НПА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нормативный правовой акт Российской Федерации.</w:t>
            </w:r>
            <w:r/>
          </w:p>
        </w:tc>
      </w:tr>
      <w:tr>
        <w:tblPrEx/>
        <w:trPr>
          <w:trHeight w:val="437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ПО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подконтрольные организации.</w:t>
            </w:r>
            <w:r/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8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СВКиУР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8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555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before="120" w:after="120"/>
            </w:pPr>
            <w:r>
              <w:rPr>
                <w:sz w:val="28"/>
                <w:szCs w:val="28"/>
              </w:rPr>
              <w:t xml:space="preserve">система внутреннего контроля и управления рисками.</w:t>
            </w:r>
            <w:r/>
          </w:p>
        </w:tc>
      </w:tr>
    </w:tbl>
    <w:p>
      <w:pPr>
        <w:pStyle w:val="1128"/>
        <w:numPr>
          <w:ilvl w:val="0"/>
          <w:numId w:val="6"/>
        </w:numPr>
        <w:ind w:left="0" w:firstLine="1134"/>
        <w:jc w:val="center"/>
        <w:keepLines/>
        <w:keepNext/>
        <w:pageBreakBefore/>
        <w:rPr>
          <w:sz w:val="28"/>
          <w:szCs w:val="28"/>
        </w:rPr>
        <w:outlineLvl w:val="0"/>
      </w:pPr>
      <w:r/>
      <w:bookmarkStart w:id="3" w:name="_Toc223079234"/>
      <w:r>
        <w:rPr>
          <w:b/>
          <w:sz w:val="28"/>
          <w:szCs w:val="28"/>
        </w:rPr>
        <w:t xml:space="preserve">ОБЩИЕ </w:t>
      </w:r>
      <w:r>
        <w:rPr>
          <w:b/>
          <w:caps/>
          <w:sz w:val="28"/>
          <w:szCs w:val="28"/>
        </w:rPr>
        <w:t xml:space="preserve">ПОЛОЖЕНИЯ</w:t>
      </w:r>
      <w:bookmarkEnd w:id="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4" w:name="_Toc223079235"/>
      <w:r>
        <w:rPr>
          <w:sz w:val="28"/>
          <w:szCs w:val="28"/>
        </w:rPr>
        <w:t xml:space="preserve">ЦЕЛЬ, НАЗНАЧЕНИЕ ПОЛОЖЕНИЯ И ПОРЯДОК ВНЕСЕНИЯ ИЗМЕНЕНИЙ</w:t>
      </w:r>
      <w:bookmarkEnd w:id="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Положение об управлении системой внутреннего контроля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управления рисками и внутренним контролем бизнес-процессов (далее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Положение) определяет требования к организации процесса «Управление внутренним контролем и рисками»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части сценариев «Управление системой внутреннего контроля и управления рисками», «Управление внутренним контролем бизнес-процессов»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Процесс) </w:t>
      </w:r>
      <w:r>
        <w:rPr>
          <w:sz w:val="28"/>
          <w:szCs w:val="28"/>
        </w:rPr>
        <w:t xml:space="preserve">и охватывает все уровни управления Группы.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Целями Положения являются: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единых принципов и подходов к организации эффективной СВКиУР, определенных Политикой в области внутреннего контроля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управления рисками Группы РусГидро (далее – Политика)</w:t>
      </w:r>
      <w:r>
        <w:rPr>
          <w:rStyle w:val="1296"/>
          <w:rFonts w:ascii="Times New Roman" w:hAnsi="Times New Roman"/>
          <w:sz w:val="28"/>
          <w:szCs w:val="28"/>
        </w:rPr>
        <w:footnoteReference w:id="4"/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</w:pPr>
      <w:r>
        <w:rPr>
          <w:rFonts w:ascii="Times New Roman" w:hAnsi="Times New Roman"/>
          <w:sz w:val="28"/>
          <w:szCs w:val="28"/>
        </w:rPr>
        <w:t xml:space="preserve">формирование методологической базы для регламентации деятельности в области внутреннего контроля;</w:t>
      </w:r>
      <w:r/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формализация </w:t>
      </w:r>
      <w:r>
        <w:rPr>
          <w:rFonts w:ascii="Times New Roman" w:hAnsi="Times New Roman"/>
          <w:sz w:val="28"/>
          <w:szCs w:val="28"/>
        </w:rPr>
        <w:t xml:space="preserve">Процесса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Положение основывается на НПА, требованиях и рекомендациях </w:t>
        <w:br w:type="textWrapping" w:clear="all"/>
        <w:t xml:space="preserve">к эффективной организации СВКиУР со стороны регулирующих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контролирующих органов Российской Федерации, Уставе Общества и ПО, Политике и других ЛНД (А) Общества.</w:t>
      </w:r>
      <w:r>
        <w:rPr>
          <w:sz w:val="28"/>
          <w:szCs w:val="28"/>
        </w:rPr>
      </w:r>
    </w:p>
    <w:p>
      <w:pPr>
        <w:pStyle w:val="1128"/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Положение разработано с учетом передовой международной практики </w:t>
        <w:br w:type="textWrapping" w:clear="all"/>
        <w:t xml:space="preserve">в области внутреннего контроля и управления рисками.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Отдельные нормы, не вошедшие в Положение и относящиеся </w:t>
        <w:br w:type="textWrapping" w:clear="all"/>
        <w:t xml:space="preserve">к компетенции структурных подразделений, работников и органов Общества, участвующих в управлении СВКиУР, подлежат определению в иных ЛНД (А) Общества, издаваемых в развитие Положения. </w:t>
      </w:r>
      <w:r>
        <w:rPr>
          <w:sz w:val="28"/>
          <w:szCs w:val="28"/>
        </w:rPr>
      </w:r>
    </w:p>
    <w:p>
      <w:pPr>
        <w:pStyle w:val="1128"/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Сценарии «Управление рисками»</w:t>
      </w:r>
      <w:r>
        <w:rPr>
          <w:rStyle w:val="1296"/>
          <w:sz w:val="28"/>
          <w:szCs w:val="28"/>
        </w:rPr>
        <w:footnoteReference w:id="5"/>
      </w:r>
      <w:r>
        <w:rPr>
          <w:sz w:val="28"/>
          <w:szCs w:val="28"/>
        </w:rPr>
        <w:t xml:space="preserve">, «Управление операционным контролем»</w:t>
      </w:r>
      <w:r>
        <w:rPr>
          <w:rStyle w:val="1296"/>
          <w:sz w:val="28"/>
          <w:szCs w:val="28"/>
        </w:rPr>
        <w:footnoteReference w:id="6"/>
      </w:r>
      <w:r>
        <w:rPr>
          <w:sz w:val="28"/>
          <w:szCs w:val="28"/>
        </w:rPr>
        <w:t xml:space="preserve"> процесса «Управление внутренним контролем и рисками» описаны отдельными ЛНД (А) Общества.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</w:pPr>
      <w:r>
        <w:rPr>
          <w:sz w:val="28"/>
          <w:szCs w:val="28"/>
        </w:rPr>
        <w:t xml:space="preserve">Положение и изменения к нему утверждаются приказом Председателя Правления – Генерального директора Общества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представлению д</w:t>
      </w:r>
      <w:r>
        <w:rPr>
          <w:sz w:val="28"/>
          <w:szCs w:val="28"/>
        </w:rPr>
        <w:t xml:space="preserve">иректора</w:t>
      </w:r>
      <w:r>
        <w:rPr>
          <w:sz w:val="28"/>
          <w:szCs w:val="28"/>
        </w:rPr>
        <w:t xml:space="preserve"> по внутреннему контролю и управлению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рисками – главного аудитора.</w:t>
      </w:r>
      <w:r/>
    </w:p>
    <w:p>
      <w:pPr>
        <w:pStyle w:val="1128"/>
        <w:numPr>
          <w:ilvl w:val="0"/>
          <w:numId w:val="6"/>
        </w:numPr>
        <w:ind w:left="0" w:firstLine="1134"/>
        <w:jc w:val="center"/>
        <w:keepLines/>
        <w:keepNext/>
        <w:pageBreakBefore/>
        <w:outlineLvl w:val="0"/>
      </w:pPr>
      <w:r/>
      <w:bookmarkStart w:id="5" w:name="_Toc223079236"/>
      <w:r>
        <w:rPr>
          <w:b/>
          <w:sz w:val="28"/>
          <w:szCs w:val="28"/>
        </w:rPr>
        <w:t xml:space="preserve">ОБЩЕЕ ОПИСАНИЕ ПРОЦЕССА</w:t>
      </w:r>
      <w:bookmarkEnd w:id="5"/>
      <w:r/>
      <w:r/>
    </w:p>
    <w:p>
      <w:pPr>
        <w:pStyle w:val="1128"/>
        <w:numPr>
          <w:ilvl w:val="0"/>
          <w:numId w:val="7"/>
        </w:numPr>
        <w:ind w:left="567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6" w:name="_Toc223079237"/>
      <w:r>
        <w:rPr>
          <w:sz w:val="28"/>
          <w:szCs w:val="28"/>
        </w:rPr>
        <w:t xml:space="preserve">ЦЕЛИ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ЗАДАЧИ</w:t>
      </w:r>
      <w:r>
        <w:rPr>
          <w:sz w:val="28"/>
          <w:szCs w:val="28"/>
        </w:rPr>
        <w:t xml:space="preserve"> И ПРИНЦИПЫ </w:t>
      </w:r>
      <w:r>
        <w:rPr>
          <w:sz w:val="28"/>
          <w:szCs w:val="28"/>
        </w:rPr>
        <w:t xml:space="preserve">ПРОЦЕССА</w:t>
      </w:r>
      <w:bookmarkEnd w:id="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567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Целями Процесса являются: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567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Создание и поддержание функционирования надежной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эффективной СВКиУР в Группе РусГидро, основанной на внедрении единых принципов и подходов, направленной на: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результативности финансово-хозяйственной деятельности, в том числе эффективное функционирование бизнес-процессов и реализацию проектов, посредством снижения рисков бизнес-процессов;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сохранности активов и экономичного использования ресурсов;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обеспечения достоверности и полноты финансовой и нефинансовой, внутренней и внешней отчетности;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соблюдения Группой применимого законодательства, ЛНД (А) Общества и ПО.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</w:pPr>
      <w:r>
        <w:rPr>
          <w:sz w:val="28"/>
          <w:szCs w:val="28"/>
        </w:rPr>
        <w:t xml:space="preserve">Достижение целевого уровня зрелости СВКиУР, зафиксированной в Программе развития СВКиУР</w:t>
      </w:r>
      <w:r>
        <w:rPr>
          <w:rStyle w:val="1296"/>
          <w:sz w:val="28"/>
          <w:szCs w:val="28"/>
        </w:rPr>
        <w:footnoteReference w:id="7"/>
      </w:r>
      <w:r>
        <w:rPr>
          <w:sz w:val="28"/>
          <w:szCs w:val="28"/>
        </w:rPr>
        <w:t xml:space="preserve">. </w:t>
      </w:r>
      <w:r/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достижения целей Процесса </w:t>
      </w:r>
      <w:r>
        <w:rPr>
          <w:sz w:val="28"/>
          <w:szCs w:val="28"/>
        </w:rPr>
        <w:t xml:space="preserve">требуется решение следующих задач: 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разработки, поддержания в актуальном состоянии, внедрения в Группе единых требований и стандартов к организации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функционированию СВКиУР.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Мониторинг соблюдения Группой применимого законодательства, ЛНД (А) Общества и ПО, в том числе в части функционирования СВКиУР.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Осуществление мониторинга и оценки зрелости (состояния) СВКиУР.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Постоянное развитие и совершенствование СВКиУР с учетом внешних тенденций, внутренних потребностей деятельности и изменений.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Внедрение единых норм и подходов</w:t>
      </w:r>
      <w:r>
        <w:t xml:space="preserve"> </w:t>
      </w:r>
      <w:r>
        <w:rPr>
          <w:sz w:val="28"/>
          <w:szCs w:val="28"/>
        </w:rPr>
        <w:t xml:space="preserve">к организации контроля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бизнес-процессах.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Разработка и внедрение </w:t>
      </w:r>
      <w:r>
        <w:rPr>
          <w:sz w:val="28"/>
          <w:szCs w:val="28"/>
        </w:rPr>
        <w:t xml:space="preserve">КП</w:t>
      </w:r>
      <w:r>
        <w:rPr>
          <w:sz w:val="28"/>
          <w:szCs w:val="28"/>
        </w:rPr>
        <w:t xml:space="preserve">, достаточных для обеспечения разумной уверенности в эффективном функционировании </w:t>
      </w:r>
      <w:r>
        <w:rPr>
          <w:sz w:val="28"/>
          <w:szCs w:val="28"/>
        </w:rPr>
        <w:t xml:space="preserve">бизнес-процессов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реализации проектов, а также снижения вероятности и / или влияния рисков до приемлемого уровня.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обеспечения разумного контроля, достоверности и полноты финансовой и нефинансовой отчетности, внутренней и / или внешней отчетности на каждом этапе ее формирования.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принципов </w:t>
      </w:r>
      <w:r>
        <w:rPr>
          <w:sz w:val="28"/>
          <w:szCs w:val="28"/>
        </w:rPr>
        <w:t xml:space="preserve">Процесса и их описание </w:t>
      </w:r>
      <w:r>
        <w:rPr>
          <w:sz w:val="28"/>
          <w:szCs w:val="28"/>
        </w:rPr>
        <w:t xml:space="preserve">раскрыт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Политике.</w:t>
      </w:r>
      <w:r>
        <w:rPr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7" w:name="_Toc223079238"/>
      <w:r>
        <w:rPr>
          <w:sz w:val="28"/>
          <w:szCs w:val="28"/>
        </w:rPr>
        <w:t xml:space="preserve">КЛЮЧЕВЫЕ УЧАСТНИКИ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РОЦЕССА</w:t>
      </w:r>
      <w:bookmarkEnd w:id="7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Ключевыми участниками сценария «Управление системой внутреннего контроля и управления рисками»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Политикой являются: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Совет директоров Общества, Комитет по аудиту при Совете директоров Общества, которые реализуют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ежегодное рассмотрение и утверждение отчета об оценке функционирования СВКиУР, включающего информацию по оценке рисков Группы и реализации мероприятий по ключевым направлениям контроля;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инициирование и рассмотрение результатов отчетов внешней независимой оценки СВКиУР приглашенными независимыми экспертами.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Правление Общества, которое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верификацию направлений развития СВКиУР Группы РусГидро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рамках одобрения Программы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верификацию отчетной информации и акцепт вынесения на утверждение Совета директоров Общества ежегодного отчета об оценке функционирования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Правления – Генеральный директор Общества,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утверждение плана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развития СВКиУР и контроль его реализации;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инициирование и рассмотрение результатов отчетов внешней независимой оценки СВКиУР приглашенными независимыми экспертами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Директор по внутреннему контролю и управлению рисками – главный аудитор,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и контроль достижения целей управления </w:t>
      </w:r>
      <w:r>
        <w:rPr>
          <w:rFonts w:ascii="Times New Roman" w:hAnsi="Times New Roman"/>
          <w:sz w:val="28"/>
          <w:szCs w:val="28"/>
        </w:rPr>
        <w:t xml:space="preserve">СВКиУР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деятельности структурных подразделений Общества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ПО по вопросам внедрения риск-ориентированного внутреннего контроля;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вынесение на рассмотрение и утверждение органов Общества (Председателя Правления – Генерального директора, Правления, Комитет по аудиту при Совете директоров, Совет директоров) вопросов в рамках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балансировку мероприятий Программы развития и плана развития СВКиУР с учетом плановых документов по другим направлениям деятельности Блока внутреннего контроля и управления рисками;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методологического сопровождения субъектов СВКиУР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части управления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и оперативный контроль реализации мероприятий плана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внедрения и выполнения процедур мониторинга и оценки зрелости действующей СВКиУР;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своевременности и полноты информации, раскрываемой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ежегодном отчете об оценке функционирования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ДКиУР,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и контроль внедрения в деятельность Группы единых принципов и подходов к управлению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методологическое сопровождение субъектов СВКиУР в части управления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администрирование процедур вынесения на рассмотрение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утверждение органов Общества (Председателя Правления – Генерального директора, Правления, Комитет по аудиту при Совете директоров, Совет директоров) вопросов в рамках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 (в том числе самостоятельную разработку), рассмотрение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экспертизу предложений по развитию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Программы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плана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ежегодного отчета о функционировании и оценке корпоративной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сопровождение внутренней, а также инициирование и сопровождение внешней независимой оценки текущего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выполнения мероприятий по совершенствованию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ДВА,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оценку надежности и эффективности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Субъекты СВКиУР, которые реализуют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надлежащее и своевременное исполнение мероприятий, определенных планом развития СВКиУР в соответствии с выданными заданиями.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Ключевыми участниками сценария «Управление внутренним контролем бизнес-процессов» в соответствии Политикой являются: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Владельцы процессов</w:t>
      </w:r>
      <w:r>
        <w:rPr>
          <w:rStyle w:val="1296"/>
          <w:sz w:val="28"/>
          <w:szCs w:val="28"/>
        </w:rPr>
        <w:footnoteReference w:id="8"/>
      </w:r>
      <w:r>
        <w:rPr>
          <w:sz w:val="28"/>
          <w:szCs w:val="28"/>
        </w:rPr>
        <w:t xml:space="preserve"> (роль владельца процесса может распределяться на владельца этапа), которые реализуют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управления бизнес-процессом таким образом, чтобы обеспечить эффективность всего комплекса работ и достижение целевых результатов в границах курируемого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контрольных точек и установление КП в </w:t>
      </w:r>
      <w:r>
        <w:rPr>
          <w:rFonts w:ascii="Times New Roman" w:hAnsi="Times New Roman"/>
          <w:sz w:val="28"/>
          <w:szCs w:val="28"/>
        </w:rPr>
        <w:t xml:space="preserve">бизнес-процессе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соответствии с требованиями Положения с учетом рисков </w:t>
      </w:r>
      <w:r>
        <w:rPr>
          <w:rFonts w:ascii="Times New Roman" w:hAnsi="Times New Roman"/>
          <w:sz w:val="28"/>
          <w:szCs w:val="28"/>
        </w:rPr>
        <w:t xml:space="preserve">бизнес-процесса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своевременную актуализацию КП и оптимизацию </w:t>
      </w:r>
      <w:r>
        <w:rPr>
          <w:rFonts w:ascii="Times New Roman" w:hAnsi="Times New Roman"/>
          <w:sz w:val="28"/>
          <w:szCs w:val="28"/>
        </w:rPr>
        <w:t xml:space="preserve">бизнес-процесса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целом с учетом изменяющихся условий внешней и внутренней среды;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доведение до исполнителей информации о порядке выполнения КП способами, установленными документооборотом Общества и ПО (с учетом их должностных обязанностей) и контроль соблюдения установленных требований;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формализацию КП при разработке и актуализации ЛНД (А), регламентирующих </w:t>
      </w:r>
      <w:r>
        <w:rPr>
          <w:rFonts w:ascii="Times New Roman" w:hAnsi="Times New Roman"/>
          <w:sz w:val="28"/>
          <w:szCs w:val="28"/>
        </w:rPr>
        <w:t xml:space="preserve">бизнес-процесс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достаточности и эффективности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проведения самооценки эффективности внутренн</w:t>
      </w:r>
      <w:r>
        <w:rPr>
          <w:rFonts w:ascii="Times New Roman" w:hAnsi="Times New Roman"/>
          <w:sz w:val="28"/>
          <w:szCs w:val="28"/>
        </w:rPr>
        <w:t xml:space="preserve">его</w:t>
      </w:r>
      <w:r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бизнес-процесс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Владельцы процессов несут ответственность за: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и своевременную актуализацию эффективного дизайна КП </w:t>
      </w:r>
      <w:r>
        <w:rPr>
          <w:rFonts w:ascii="Times New Roman" w:hAnsi="Times New Roman"/>
          <w:sz w:val="28"/>
          <w:szCs w:val="28"/>
        </w:rPr>
        <w:t xml:space="preserve">бизнес-процесса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формализацию КП </w:t>
      </w:r>
      <w:r>
        <w:rPr>
          <w:rFonts w:ascii="Times New Roman" w:hAnsi="Times New Roman"/>
          <w:sz w:val="28"/>
          <w:szCs w:val="28"/>
        </w:rPr>
        <w:t xml:space="preserve">бизнес-процесса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реализацию, совершенствование и обеспечение надлежащего выполнения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Директор по внутреннему контролю и управлению рисками – главный аудитор,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методологического обеспечения процесса управления внутренним контролем бизнес-процессов;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деятельности структурных подразделений Группы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внедрению риск-ориентированной системы контроля;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периодического контроля соблюдения установленных требований в части управления внутренним контролем бизнес-процессов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оценки эффективности выбранных форм и мер внутреннего контроля бизнес-процессов.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ДКиУР</w:t>
      </w:r>
      <w:r>
        <w:rPr>
          <w:sz w:val="28"/>
          <w:szCs w:val="28"/>
        </w:rPr>
        <w:t xml:space="preserve">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внедрения принципов управления внутренним контролем бизнес-процессов в деятельность Группы;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методологическое сопровождение субъектов СВКиУР в части управления внутренним контролем бизнес-процессов;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методологическое консультирование и координацию деятельности структурных подразделений по внедрению риск-ориентированной системы контроля;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организацию проведения самооценки эффективности и оценки дизайна внутреннего контроля </w:t>
      </w:r>
      <w:r>
        <w:rPr>
          <w:rFonts w:ascii="Times New Roman" w:hAnsi="Times New Roman"/>
          <w:sz w:val="28"/>
          <w:szCs w:val="28"/>
        </w:rPr>
        <w:t xml:space="preserve">бизнес-процессов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оценку операционной эффективности контроля </w:t>
      </w:r>
      <w:r>
        <w:rPr>
          <w:rFonts w:ascii="Times New Roman" w:hAnsi="Times New Roman"/>
          <w:sz w:val="28"/>
          <w:szCs w:val="28"/>
        </w:rPr>
        <w:t xml:space="preserve">бизнес-процессов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предложений по совершенствованию внутреннего контроля </w:t>
      </w:r>
      <w:r>
        <w:rPr>
          <w:rFonts w:ascii="Times New Roman" w:hAnsi="Times New Roman"/>
          <w:sz w:val="28"/>
          <w:szCs w:val="28"/>
        </w:rPr>
        <w:t xml:space="preserve">бизнес-процессов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ДВА, который реализует следующие ключевые функции: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оценку операционной эффективности контроля </w:t>
      </w:r>
      <w:r>
        <w:rPr>
          <w:rFonts w:ascii="Times New Roman" w:hAnsi="Times New Roman"/>
          <w:sz w:val="28"/>
          <w:szCs w:val="28"/>
        </w:rPr>
        <w:t xml:space="preserve">бизнес-процессов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Субъекты СВКиУР несут ответственность за: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надлежащее исполнение КП в рамках выполняемых бизнес-процессов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соответствии со своими должностными обязанностями.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</w:pPr>
      <w:r>
        <w:rPr>
          <w:sz w:val="28"/>
          <w:szCs w:val="28"/>
        </w:rPr>
        <w:t xml:space="preserve">Схема взаимодействия участников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роцесса по вертикали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горизонтали представлена в </w:t>
      </w:r>
      <w:r>
        <w:fldChar w:fldCharType="begin"/>
      </w:r>
      <w:r>
        <w:instrText xml:space="preserve">HYPERLINK  \l "__RefHeading___Toc221596218"</w:instrText>
      </w:r>
      <w:r>
        <w:fldChar w:fldCharType="separate"/>
      </w:r>
      <w:r>
        <w:rPr>
          <w:rStyle w:val="1265"/>
          <w:sz w:val="28"/>
          <w:szCs w:val="28"/>
        </w:rPr>
        <w:t xml:space="preserve">Прил</w:t>
      </w:r>
      <w:bookmarkStart w:id="8" w:name="_Hlt223072449"/>
      <w:r/>
      <w:bookmarkStart w:id="9" w:name="_Hlt223072450"/>
      <w:r/>
      <w:bookmarkStart w:id="10" w:name="_Hlt223073135"/>
      <w:r>
        <w:rPr>
          <w:rStyle w:val="1265"/>
          <w:sz w:val="28"/>
          <w:szCs w:val="28"/>
        </w:rPr>
        <w:t xml:space="preserve">о</w:t>
      </w:r>
      <w:bookmarkEnd w:id="8"/>
      <w:r/>
      <w:bookmarkEnd w:id="9"/>
      <w:r/>
      <w:bookmarkEnd w:id="10"/>
      <w:r/>
      <w:bookmarkStart w:id="11" w:name="_Hlt223073112"/>
      <w:r/>
      <w:bookmarkStart w:id="12" w:name="_Hlt223073258"/>
      <w:r>
        <w:rPr>
          <w:rStyle w:val="1265"/>
          <w:sz w:val="28"/>
          <w:szCs w:val="28"/>
        </w:rPr>
        <w:t xml:space="preserve">ж</w:t>
      </w:r>
      <w:bookmarkEnd w:id="11"/>
      <w:r/>
      <w:bookmarkEnd w:id="12"/>
      <w:r/>
      <w:bookmarkStart w:id="13" w:name="_Hlt223072979"/>
      <w:r>
        <w:rPr>
          <w:rStyle w:val="1265"/>
          <w:sz w:val="28"/>
          <w:szCs w:val="28"/>
        </w:rPr>
        <w:t xml:space="preserve">е</w:t>
      </w:r>
      <w:bookmarkEnd w:id="13"/>
      <w:r>
        <w:rPr>
          <w:rStyle w:val="1265"/>
          <w:sz w:val="28"/>
          <w:szCs w:val="28"/>
        </w:rPr>
        <w:t xml:space="preserve">нии </w:t>
      </w:r>
      <w:r>
        <w:rPr>
          <w:rStyle w:val="1265"/>
          <w:sz w:val="28"/>
          <w:szCs w:val="28"/>
        </w:rPr>
        <w:t xml:space="preserve">1</w:t>
      </w:r>
      <w:r>
        <w:fldChar w:fldCharType="end"/>
      </w:r>
      <w:r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Положению.</w:t>
      </w:r>
      <w:r/>
    </w:p>
    <w:p>
      <w:pPr>
        <w:pStyle w:val="1128"/>
        <w:numPr>
          <w:ilvl w:val="0"/>
          <w:numId w:val="6"/>
        </w:numPr>
        <w:ind w:left="0" w:firstLine="1134"/>
        <w:jc w:val="center"/>
        <w:keepLines/>
        <w:keepNext/>
        <w:pageBreakBefore/>
        <w:rPr>
          <w:sz w:val="28"/>
          <w:szCs w:val="28"/>
        </w:rPr>
        <w:outlineLvl w:val="0"/>
      </w:pPr>
      <w:r/>
      <w:bookmarkStart w:id="14" w:name="_Toc223079239"/>
      <w:r>
        <w:rPr>
          <w:b/>
          <w:sz w:val="28"/>
          <w:szCs w:val="28"/>
        </w:rPr>
        <w:t xml:space="preserve">ОПИСАНИЕ СЦЕНАРИЯ «УПРАВЛЕНИЕ СИСТЕМОЙ ВНУТРЕННЕГО КОНТРОЛЯ И УПРАВЛЕНИЯ РИСКАМИ»</w:t>
      </w:r>
      <w:bookmarkEnd w:id="14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 w:type="textWrapping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15" w:name="_Toc223079240"/>
      <w:r>
        <w:rPr>
          <w:sz w:val="28"/>
          <w:szCs w:val="28"/>
        </w:rPr>
        <w:t xml:space="preserve">СЦЕНАРИЙ «УПРАВЛЕНИЕ СВКиУР»</w:t>
      </w:r>
      <w:bookmarkEnd w:id="15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Целевым результат</w:t>
      </w:r>
      <w:r>
        <w:rPr>
          <w:sz w:val="28"/>
          <w:szCs w:val="28"/>
        </w:rPr>
        <w:t xml:space="preserve">ом </w:t>
      </w:r>
      <w:r>
        <w:rPr>
          <w:sz w:val="28"/>
          <w:szCs w:val="28"/>
        </w:rPr>
        <w:t xml:space="preserve">Сценария является повышение надежности и эффективности СВКиУР в Группе РусГидро.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Сценарий состоит из следующих этапов: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планирование задач и мероприятий по управлению и развитию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 и оценка состояния СВКиУР.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caps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мероприятий Сценария осуществляется ответственными </w:t>
      </w:r>
      <w:r>
        <w:rPr>
          <w:color w:val="000000"/>
          <w:sz w:val="28"/>
          <w:szCs w:val="28"/>
        </w:rPr>
        <w:t xml:space="preserve">исполнителями, закрепленными в п</w:t>
      </w:r>
      <w:r>
        <w:rPr>
          <w:color w:val="000000"/>
          <w:sz w:val="28"/>
          <w:szCs w:val="28"/>
        </w:rPr>
        <w:t xml:space="preserve">лане развития СВКиУР</w:t>
      </w:r>
      <w:r>
        <w:rPr>
          <w:color w:val="000000"/>
          <w:sz w:val="28"/>
          <w:szCs w:val="28"/>
        </w:rPr>
        <w:br w:type="textWrapping" w:clear="all"/>
      </w:r>
      <w:r>
        <w:rPr>
          <w:color w:val="000000"/>
          <w:sz w:val="28"/>
          <w:szCs w:val="28"/>
        </w:rPr>
        <w:t xml:space="preserve">в рамках операционной деятельности в порядке, определенном правилами реализации других процессов.</w:t>
      </w:r>
      <w:r>
        <w:rPr>
          <w:caps/>
          <w:sz w:val="28"/>
          <w:szCs w:val="28"/>
        </w:rPr>
      </w:r>
      <w:r>
        <w:rPr>
          <w:caps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tabs>
          <w:tab w:val="left" w:pos="1418" w:leader="none"/>
        </w:tabs>
        <w:rPr>
          <w:rFonts w:eastAsia="Calibri"/>
          <w:sz w:val="28"/>
          <w:szCs w:val="28"/>
        </w:rPr>
      </w:pPr>
      <w:r>
        <w:rPr>
          <w:caps/>
          <w:sz w:val="28"/>
          <w:szCs w:val="28"/>
        </w:rPr>
        <w:t xml:space="preserve">С</w:t>
      </w:r>
      <w:r>
        <w:rPr>
          <w:sz w:val="28"/>
          <w:szCs w:val="28"/>
        </w:rPr>
        <w:t xml:space="preserve">ценарий осуществляется через совместное синхронизированное функционирование 5 (пяти) элементов СВКиУР: 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среда, стратегия и постановка целей;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рисков и воздействие на риск;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процедуры;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и коммуникация;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Подробное описание каждого элемента приведено в Политике.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Модели (2-го и 3-го уровней декомпозиции) сценария «Управление системой внутреннего</w:t>
      </w:r>
      <w:r>
        <w:rPr>
          <w:sz w:val="28"/>
          <w:szCs w:val="28"/>
        </w:rPr>
        <w:t xml:space="preserve"> контроля и управления рисками» </w:t>
      </w:r>
      <w:r>
        <w:rPr>
          <w:sz w:val="28"/>
          <w:szCs w:val="28"/>
        </w:rPr>
        <w:t xml:space="preserve">представлены в </w:t>
      </w:r>
      <w:r>
        <w:fldChar w:fldCharType="begin"/>
      </w:r>
      <w:r>
        <w:instrText xml:space="preserve">HYPERLINK  \l "_ПРИЛОЖЕНИЕ_2.1"</w:instrText>
      </w:r>
      <w:r>
        <w:fldChar w:fldCharType="separate"/>
      </w:r>
      <w:r>
        <w:rPr>
          <w:rStyle w:val="1265"/>
          <w:sz w:val="28"/>
          <w:szCs w:val="28"/>
        </w:rPr>
        <w:t xml:space="preserve">При</w:t>
      </w:r>
      <w:bookmarkStart w:id="16" w:name="_Hlt223075492"/>
      <w:r>
        <w:rPr>
          <w:rStyle w:val="1265"/>
          <w:sz w:val="28"/>
          <w:szCs w:val="28"/>
        </w:rPr>
        <w:t xml:space="preserve">л</w:t>
      </w:r>
      <w:bookmarkEnd w:id="16"/>
      <w:r/>
      <w:bookmarkStart w:id="17" w:name="_Hlt223073569"/>
      <w:r>
        <w:rPr>
          <w:rStyle w:val="1265"/>
          <w:sz w:val="28"/>
          <w:szCs w:val="28"/>
        </w:rPr>
        <w:t xml:space="preserve">о</w:t>
      </w:r>
      <w:bookmarkEnd w:id="17"/>
      <w:r>
        <w:rPr>
          <w:rStyle w:val="1265"/>
          <w:sz w:val="28"/>
          <w:szCs w:val="28"/>
        </w:rPr>
        <w:t xml:space="preserve">ж</w:t>
      </w:r>
      <w:bookmarkStart w:id="18" w:name="_Hlt223073521"/>
      <w:r>
        <w:rPr>
          <w:rStyle w:val="1265"/>
          <w:sz w:val="28"/>
          <w:szCs w:val="28"/>
        </w:rPr>
        <w:t xml:space="preserve">е</w:t>
      </w:r>
      <w:bookmarkEnd w:id="18"/>
      <w:r>
        <w:rPr>
          <w:rStyle w:val="1265"/>
          <w:sz w:val="28"/>
          <w:szCs w:val="28"/>
        </w:rPr>
        <w:t xml:space="preserve">нии </w:t>
      </w:r>
      <w:r>
        <w:rPr>
          <w:rStyle w:val="1265"/>
          <w:sz w:val="28"/>
          <w:szCs w:val="28"/>
        </w:rPr>
        <w:t xml:space="preserve">2</w:t>
      </w:r>
      <w:r>
        <w:fldChar w:fldCharType="end"/>
      </w:r>
      <w:r>
        <w:rPr>
          <w:sz w:val="28"/>
          <w:szCs w:val="28"/>
        </w:rPr>
        <w:t xml:space="preserve"> к Положению.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19" w:name="_Toc223079241"/>
      <w:r>
        <w:rPr>
          <w:sz w:val="28"/>
          <w:szCs w:val="28"/>
        </w:rPr>
        <w:t xml:space="preserve">ЭТАП «ПЛАНИРОВАНИЕ ЗАДАЧ И МЕРОПРИЯТИЙ </w:t>
        <w:br w:type="textWrapping" w:clear="all"/>
        <w:t xml:space="preserve">ПО УПРАВЛЕНИЮ И РАЗВИТИЮ СВКиУР»</w:t>
      </w:r>
      <w:bookmarkEnd w:id="1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Этапа явл</w:t>
      </w:r>
      <w:r>
        <w:rPr>
          <w:color w:val="000000"/>
          <w:sz w:val="28"/>
          <w:szCs w:val="28"/>
        </w:rPr>
        <w:t xml:space="preserve">яется разработка и утверждение п</w:t>
      </w:r>
      <w:r>
        <w:rPr>
          <w:color w:val="000000"/>
          <w:sz w:val="28"/>
          <w:szCs w:val="28"/>
        </w:rPr>
        <w:t xml:space="preserve">лана развития СВКиУР на следующий отчетный период (год).</w:t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Инициирующими событиями Этапа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получены внешние требования к организации СВКиУР или внесены изменения в законодательство РФ в области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утверждена новая Стратегия развития Группы РусГидро или внесены изменения в действующую Стратегию;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получены рекомендации внешних независимых экспертов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достижению целевых показателей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и предложения по развитию и достижению целевого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ДВА по повышению надежности и эффективности СВКиУР.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Этапа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  <w:t xml:space="preserve"> утвержден </w:t>
      </w:r>
      <w:r>
        <w:rPr>
          <w:color w:val="000000"/>
          <w:sz w:val="28"/>
          <w:szCs w:val="28"/>
        </w:rPr>
        <w:t xml:space="preserve">п</w:t>
      </w:r>
      <w:r>
        <w:rPr>
          <w:color w:val="000000"/>
          <w:sz w:val="28"/>
          <w:szCs w:val="28"/>
        </w:rPr>
        <w:t xml:space="preserve">лан развития СВКиУР.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Этап состоит из следующих взаимосвязанных процедур: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программы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</w:t>
      </w:r>
      <w:r>
        <w:rPr>
          <w:rFonts w:ascii="Times New Roman" w:hAnsi="Times New Roman"/>
          <w:sz w:val="28"/>
          <w:szCs w:val="28"/>
        </w:rPr>
        <w:t xml:space="preserve">лана развития СВКиУР.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Процедура «Разработка программы развития СВКиУР»: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Инициируется событиями, определенными для Этапа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и указанными в п. </w:t>
      </w:r>
      <w:r>
        <w:rPr>
          <w:rFonts w:ascii="Times New Roman" w:hAnsi="Times New Roman"/>
          <w:color w:val="000000"/>
          <w:sz w:val="28"/>
          <w:szCs w:val="28"/>
        </w:rPr>
        <w:t xml:space="preserve">5</w:t>
      </w:r>
      <w:r>
        <w:rPr>
          <w:rFonts w:ascii="Times New Roman" w:hAnsi="Times New Roman"/>
          <w:color w:val="000000"/>
          <w:sz w:val="28"/>
          <w:szCs w:val="28"/>
        </w:rPr>
        <w:t xml:space="preserve">.2 Положения.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Результат процедуры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color w:val="000000"/>
          <w:sz w:val="28"/>
          <w:szCs w:val="28"/>
        </w:rPr>
        <w:t xml:space="preserve"> утвержден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развития СВКиУР.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развития СВКиУР разрабатывается на период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до 5 (пяти) лет. 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развития СВКиУР описывает текущий уровень зрелости и определяет целевое состояние развития СВКиУР (целевая модель)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в разрезе отдельных компонентов, а также мероприятия по его достижению.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Программу развития СВКиУР разрабатывает ДКиУР с учетом: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стратегии развития и иных программных документов Группы РусГидро;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актуальных рисков и их оценок;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результатов всех видов мониторинга СВКиУР и отдельных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ее элементов;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результатов как внешних, так и внутренних независимых оценок эффективности функционирования (зрелости) СВКиУР и предложений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совершенствованию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предложений и инициатив, поступивших от работников Группы РусГидро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том числе владельцев процессов;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иной значимой информации.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развития СВКиУР, а также изменения к ней принимаются решением Правления Общества.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Процедура «Формирование плана развития СВКиУР»: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Инициируется следующими событиями: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утверждена программа развития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и предложения по развитию и достижению целевого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ДВА по повышению надежности и эффективности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предложения по изменению подходов к организации внутреннего контроля и оптимизации бизнес-процессов.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284" w:leader="none"/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Результат процедуры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color w:val="000000"/>
          <w:sz w:val="28"/>
          <w:szCs w:val="28"/>
        </w:rPr>
        <w:t xml:space="preserve"> утвержден план развития СВКиУР. 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 развития СВКиУР разрабатывается </w:t>
      </w:r>
      <w:r>
        <w:rPr>
          <w:rFonts w:ascii="Times New Roman" w:hAnsi="Times New Roman"/>
          <w:color w:val="000000"/>
          <w:sz w:val="28"/>
          <w:szCs w:val="28"/>
        </w:rPr>
        <w:t xml:space="preserve">ДКиУР на основе принятой (одобренной Правлением) Программы развития СВКиУР </w:t>
      </w:r>
      <w:r>
        <w:rPr>
          <w:rFonts w:ascii="Times New Roman" w:hAnsi="Times New Roman"/>
          <w:color w:val="000000"/>
          <w:sz w:val="28"/>
          <w:szCs w:val="28"/>
        </w:rPr>
        <w:t xml:space="preserve">на год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и утверждается не позднее 4 (четвертого) квартала текущего года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на следующий отчетный период. При необходимости включения мероприятий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с периодом реализации более года, план может формироваться на период более 1 (одного) года. 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284" w:leader="none"/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Рекомендуемый срок начала кампании по планированию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на следующий календарный год – не позднее 01 ноября текущего года.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 развития СВКиУР, а также изменения к нему утверждаются приказом Председателя Правления – Генерального директора Общества.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20" w:name="_Toc223079242"/>
      <w:r>
        <w:rPr>
          <w:sz w:val="28"/>
          <w:szCs w:val="28"/>
        </w:rPr>
        <w:t xml:space="preserve">ЭТАП «МОНИТОРИНГ И ОЦЕНКА СОСТОЯНИЯ СВКиУР»</w:t>
      </w:r>
      <w:bookmarkEnd w:id="2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Целью Этапа является: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своевременное выявление отклонений при реализации мероприятий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развитию СВКиУР, принятие своевременных решений для минимизации рисков и инициирование корректирующих мероприятий;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надежности и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соответствия текущего состояния СВКиУР целевым показателям;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утверждение отчета об оценке функционирования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Инициирующим событием Этапа является: </w:t>
      </w:r>
      <w:r>
        <w:rPr>
          <w:sz w:val="28"/>
          <w:szCs w:val="28"/>
        </w:rPr>
        <w:t xml:space="preserve">утвержден план развития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Этапа: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 выявлены отклонения, приняты управленческие решения по результатам мониторинга и инициированы корректирующие действия;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и предложения по развитию и достижению целевого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оценка ДВА надежности и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ДВА по повышению надежности и эффективности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внешняя независимая оценка текущего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получены рекомендации внешних независимых экспертов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достижению целевых показателей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отчет о функционировании и оценке корпоративной СВКиУР.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Этап состоит из следующих взаимосвязанных процедур:</w:t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 выполнения мероприятий по развитию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надежности и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сопровождение независимой оценки текущего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отчета о функционировании и оценке корпоративной СВКиУР.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«Мониторинг выполнения мероприятий по развитию СВКиУР»: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Инициируется событием: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утвержден план развития СВКиУР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наступил срок выполнения мероприятий плана.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процедуры: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 выявлены отклонения, приняты управленческие решения по результатам мониторинга и инициированы корректирующие действия;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и предложения по развитию и достижению целевого состояния СВКиУР.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осуществляется на регулярной основе ответственными исполнителями ДКиУР с целью контроля достижения желаемого результата</w:t>
      </w:r>
      <w:r>
        <w:rPr>
          <w:rStyle w:val="1296"/>
          <w:rFonts w:ascii="Times New Roman" w:hAnsi="Times New Roman"/>
          <w:sz w:val="28"/>
          <w:szCs w:val="28"/>
        </w:rPr>
        <w:footnoteReference w:id="9"/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определенный срок.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«Оценка надежности и эффективности функционирования СВКиУР»: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Инициируется событием: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утвержден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план развития СВКиУР.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процедуры: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оценка ДВА надежности и эффективности функционирования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рекомендации ДВА по развитию и повышению эффективности СВКиУР.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надежности и эффективности функционирования СВКиУР проводится ДВА на регулярной основе не реже 1 (одного) раза в год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в соответствии с утвержденным планом развития СВКиУР (если иное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не предусмотрено ЛНД (А), регламентирующими деятельность ДВА).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оценки надежности и эффективности функционирования СВКиУР содержат независимое мнение аудитора о текущем состоянии и эффективности функционирования СВКиУР, его сопоставление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с целевым состоянием, а также отражают динамику развития отдельных элементов СВКиУР.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Характеристики целевого </w:t>
      </w:r>
      <w:r>
        <w:rPr>
          <w:rFonts w:ascii="Times New Roman" w:hAnsi="Times New Roman"/>
          <w:color w:val="000000"/>
          <w:sz w:val="28"/>
          <w:szCs w:val="28"/>
        </w:rPr>
        <w:t xml:space="preserve">состояние развития СВКиУР (целевая модель) в разрезе отдельных компонентов</w:t>
      </w:r>
      <w:r>
        <w:rPr>
          <w:rFonts w:ascii="Times New Roman" w:hAnsi="Times New Roman"/>
          <w:sz w:val="28"/>
          <w:szCs w:val="28"/>
        </w:rPr>
        <w:t xml:space="preserve"> определены в программе развития СВКиУР.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Критерии надежности и </w:t>
      </w:r>
      <w:r>
        <w:rPr>
          <w:rFonts w:ascii="Times New Roman" w:hAnsi="Times New Roman"/>
          <w:sz w:val="28"/>
          <w:szCs w:val="28"/>
        </w:rPr>
        <w:t xml:space="preserve">эффективности СВКиУР определяются методикой, разработанной и утвержденной для подразделения внутреннего аудита.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«Сопровождение независимой оценки текущего состояния СВКиУР»: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Инициируется событием: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утвержден план развития СВКиУР.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процедуры: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внешняя независимая оценка текущего состояния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получены рекомендации внешних независимых экспертов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достижению целевых показателей эффективности функционирования СВКиУР.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Независимая оценка текущего состояния СВКиУР проводится внешними приглашенными независимыми экспертами.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о проведении независимой внешней оценки текущего состояния СВКиУР принимает Председатель Правления – Генеральный директор Общества, в том числе на основании рекомендаций Комитета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аудиту при Совете директоров, согласовывая включение расходов на ее проведение в бюджет на следующий отчетный период.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560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согласования финансирования (утверждения бюджета) мероприятия по сопровождению внешней независимой оценки текущего состояния СВКиУР включаются в план развития СВКиУР.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2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Процедура «Формирование отчета о функционировании и оценке корпоративной СВКиУР»: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Инициируется событиями: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утвержден план развития СВКиУР;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оценка ДВА надежности и эффективности функционирования СВКиУР</w:t>
      </w:r>
      <w:r>
        <w:rPr>
          <w:rFonts w:ascii="Times New Roman" w:hAnsi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внешняя независимая оценка текущего состояния СВКиУР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Результат процедуры: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отчет</w:t>
      </w:r>
      <w:r>
        <w:rPr>
          <w:rFonts w:ascii="Times New Roman" w:hAnsi="Times New Roman" w:eastAsia="Times New Roman"/>
          <w:sz w:val="28"/>
          <w:szCs w:val="28"/>
        </w:rPr>
        <w:t xml:space="preserve"> о функционировании и оценке корпоративной СВКиУР Группы РусГидро утвержден решением Совет</w:t>
      </w:r>
      <w:r>
        <w:rPr>
          <w:rFonts w:ascii="Times New Roman" w:hAnsi="Times New Roman" w:eastAsia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/>
          <w:sz w:val="28"/>
          <w:szCs w:val="28"/>
        </w:rPr>
        <w:t xml:space="preserve"> директоров Общества.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Отчет о функционировании и оценке корпоративной СВКиУР содержит: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внутренней (ДВА) и внешней (если проводилась) независимой оценки надежности и эффективности СВКиУР, а также предложения по совершенствованию СВКиУР;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информацию по результатам мониторинга рисков Группы РусГидро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оценку стратегических рисков на следующий год;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информацию о результатах и эффекте регулярной деятельности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ключевым направлениям контроля (аудит и проверочная деятельность, антикоррупционная деятельность, безопасность (физическая, экономическая, информационная), охрана труда и производственная безопасность, юридическая защита, кадровая политика и прочее</w:t>
      </w:r>
      <w:r>
        <w:rPr>
          <w:rFonts w:ascii="Times New Roman" w:hAnsi="Times New Roman"/>
          <w:sz w:val="28"/>
          <w:szCs w:val="28"/>
          <w:vertAlign w:val="superscript"/>
        </w:rPr>
        <w:footnoteReference w:id="10"/>
      </w:r>
      <w:r>
        <w:rPr>
          <w:rFonts w:ascii="Times New Roman" w:hAnsi="Times New Roman"/>
          <w:sz w:val="28"/>
          <w:szCs w:val="28"/>
        </w:rPr>
        <w:t xml:space="preserve">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информацию о реализации плана развития СВКиУР за отчетный период.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Своевременную подготовку, рассмотрение отчета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о функционировании и оце</w:t>
      </w:r>
      <w:r>
        <w:rPr>
          <w:rFonts w:ascii="Times New Roman" w:hAnsi="Times New Roman"/>
          <w:color w:val="000000"/>
          <w:sz w:val="28"/>
          <w:szCs w:val="28"/>
        </w:rPr>
        <w:t xml:space="preserve">нке корпоративной СВКиУР за отчетных период (год) Правлением Общества и Комитетом по аудиту при Совете директоров Общества и его дальнейшее утверждение Советом директоров обеспечивает директор по внутреннему контролю и управлению рисками – главный аудитор.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numPr>
          <w:ilvl w:val="3"/>
          <w:numId w:val="7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</w:pPr>
      <w:r>
        <w:rPr>
          <w:rFonts w:ascii="Times New Roman" w:hAnsi="Times New Roman"/>
          <w:color w:val="000000"/>
          <w:sz w:val="28"/>
          <w:szCs w:val="28"/>
        </w:rPr>
        <w:t xml:space="preserve">Отчет о функционировании и оценке корпоративной СВКиУР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за отчетный период (год) утверждается решением Совета директоров Общества не позднее 30 июня года, следующего за отчетным в соответствии</w:t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>
        <w:rPr>
          <w:rFonts w:ascii="Times New Roman" w:hAnsi="Times New Roman"/>
          <w:color w:val="000000"/>
          <w:sz w:val="28"/>
          <w:szCs w:val="28"/>
        </w:rPr>
        <w:t xml:space="preserve">с утвержденным графиком.</w:t>
      </w:r>
      <w:r/>
    </w:p>
    <w:p>
      <w:pPr>
        <w:pStyle w:val="1128"/>
        <w:numPr>
          <w:ilvl w:val="0"/>
          <w:numId w:val="6"/>
        </w:numPr>
        <w:ind w:left="0" w:firstLine="1134"/>
        <w:jc w:val="center"/>
        <w:keepLines/>
        <w:keepNext/>
        <w:pageBreakBefore/>
        <w:rPr>
          <w:b/>
          <w:sz w:val="28"/>
          <w:szCs w:val="28"/>
        </w:rPr>
        <w:outlineLvl w:val="0"/>
      </w:pPr>
      <w:r/>
      <w:bookmarkStart w:id="21" w:name="_Toc223079243"/>
      <w:r>
        <w:rPr>
          <w:b/>
          <w:sz w:val="28"/>
          <w:szCs w:val="28"/>
        </w:rPr>
        <w:t xml:space="preserve">ОПИСАНИЕ СЦЕНАРИЯ «УПРАВЛЕНИЕ ВНУТРЕНН</w:t>
      </w:r>
      <w:r>
        <w:rPr>
          <w:b/>
          <w:sz w:val="28"/>
          <w:szCs w:val="28"/>
        </w:rPr>
        <w:t xml:space="preserve">ИМ</w:t>
      </w:r>
      <w:r>
        <w:rPr>
          <w:b/>
          <w:sz w:val="28"/>
          <w:szCs w:val="28"/>
        </w:rPr>
        <w:t xml:space="preserve"> КОНТРОЛ</w:t>
      </w:r>
      <w:r>
        <w:rPr>
          <w:b/>
          <w:sz w:val="28"/>
          <w:szCs w:val="28"/>
        </w:rPr>
        <w:t xml:space="preserve">ЕМ БИЗНЕС-ПРОЦЕССОВ</w:t>
      </w:r>
      <w:r>
        <w:rPr>
          <w:b/>
          <w:sz w:val="28"/>
          <w:szCs w:val="28"/>
        </w:rPr>
        <w:t xml:space="preserve">»</w:t>
      </w:r>
      <w:bookmarkEnd w:id="21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22" w:name="_Toc223079244"/>
      <w:r>
        <w:rPr>
          <w:sz w:val="28"/>
          <w:szCs w:val="28"/>
        </w:rPr>
        <w:t xml:space="preserve">СЦЕНАРИЙ «УПРАВЛЕНИЕ ВНУТРЕННИМ КОНТРОЛЕМ БИЗНЕС-ПРОЦЕССОВ»</w:t>
      </w:r>
      <w:bookmarkEnd w:id="2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Целевым результат</w:t>
      </w:r>
      <w:r>
        <w:rPr>
          <w:rFonts w:eastAsia="Calibri"/>
          <w:sz w:val="28"/>
          <w:szCs w:val="28"/>
        </w:rPr>
        <w:t xml:space="preserve">ом</w:t>
      </w:r>
      <w:r>
        <w:rPr>
          <w:rFonts w:eastAsia="Calibri"/>
          <w:sz w:val="28"/>
          <w:szCs w:val="28"/>
        </w:rPr>
        <w:t xml:space="preserve"> Сценария является обеспечение осуществления мер реагирования на риски с целью их снижения, предотвращения, выявления ошибок и злоупотреблений.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Сценарий состоит из следующих этапов: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и формализация </w:t>
      </w:r>
      <w:r>
        <w:rPr>
          <w:rFonts w:ascii="Times New Roman" w:hAnsi="Times New Roman"/>
          <w:sz w:val="28"/>
          <w:szCs w:val="28"/>
          <w:lang w:val="en-US"/>
        </w:rPr>
        <w:t xml:space="preserve">КП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 внутреннего контроля бизнес-процессов.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Выполнение </w:t>
      </w:r>
      <w:r>
        <w:rPr>
          <w:rFonts w:eastAsia="Calibri"/>
          <w:sz w:val="28"/>
          <w:szCs w:val="28"/>
        </w:rPr>
        <w:t xml:space="preserve">КП</w:t>
      </w:r>
      <w:r>
        <w:rPr>
          <w:rFonts w:eastAsia="Calibri"/>
          <w:sz w:val="28"/>
          <w:szCs w:val="28"/>
        </w:rPr>
        <w:t xml:space="preserve"> осуществляется субъектами СВКиУР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в соответствии с утвержденным дизайном КП бизнес-процесса в ЛНД (А) Общества и ПО, определяющими ожидаемый результат и регламентирующими порядок действий по выполнению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keepNext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Модели (2-го и 3-го уровней декомпозиции) сценария «Управление внутренним контролем бизнес-процессов» представлены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</w:t>
      </w:r>
      <w:r>
        <w:fldChar w:fldCharType="begin"/>
      </w:r>
      <w:r>
        <w:instrText xml:space="preserve"> HYPERLINK  \l "_ПРИЛОЖЕНИЕ_3"</w:instrText>
      </w:r>
      <w:r>
        <w:fldChar w:fldCharType="separate"/>
      </w:r>
      <w:r>
        <w:rPr>
          <w:rStyle w:val="1265"/>
          <w:sz w:val="28"/>
          <w:szCs w:val="28"/>
        </w:rPr>
        <w:t xml:space="preserve">Приложе</w:t>
      </w:r>
      <w:bookmarkStart w:id="23" w:name="_Hlt223077075"/>
      <w:r>
        <w:rPr>
          <w:rStyle w:val="1265"/>
          <w:sz w:val="28"/>
          <w:szCs w:val="28"/>
        </w:rPr>
        <w:t xml:space="preserve">н</w:t>
      </w:r>
      <w:bookmarkEnd w:id="23"/>
      <w:r>
        <w:rPr>
          <w:rStyle w:val="1265"/>
          <w:sz w:val="28"/>
          <w:szCs w:val="28"/>
        </w:rPr>
        <w:t xml:space="preserve">ии 3</w:t>
      </w:r>
      <w:r>
        <w:fldChar w:fldCharType="end"/>
      </w:r>
      <w:r>
        <w:rPr>
          <w:sz w:val="28"/>
          <w:szCs w:val="28"/>
        </w:rPr>
        <w:t xml:space="preserve"> к Положению.</w:t>
      </w:r>
      <w:r>
        <w:rPr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/>
      <w:bookmarkStart w:id="24" w:name="_Toc223079245"/>
      <w:r>
        <w:rPr>
          <w:sz w:val="28"/>
          <w:szCs w:val="28"/>
        </w:rPr>
        <w:t xml:space="preserve">ЭТАП «ВЫБОР И ФОРМАЛИЗАЦИЯ </w:t>
      </w:r>
      <w:r>
        <w:rPr>
          <w:sz w:val="28"/>
          <w:szCs w:val="28"/>
        </w:rPr>
        <w:t xml:space="preserve">КОНТРОЛЬНЫХ ПРОЦЕДУР</w:t>
      </w:r>
      <w:r>
        <w:rPr>
          <w:sz w:val="28"/>
          <w:szCs w:val="28"/>
        </w:rPr>
        <w:t xml:space="preserve">»</w:t>
      </w:r>
      <w:bookmarkEnd w:id="2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Целью Этапа является разработка (описание дизайна), закрепление описания и порядка выполнения (дизайна) КП в ЛНД (А), регламентирующих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бизнес-процессы.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Инициирующими событиями Этапа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владельцем процесса инициирована формализация (разработка нового или актуализация действующего) процесса или его части;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способы реагирования на риск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решение о пересмотре мер воздействия на риски бизнес-процесса, в том числе по причине их реализации, или изменения влияющих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на них риск-факторов (выявление новых, изменения существенности существующих);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сформированы предложения по улучшению (развитию) КП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результатам непрерывного мониторинга / самооценки эффективности внутреннего контроля бизнес-процессов / внешних и внутренних проверок;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внедрено новое программное обеспечение / внесены существенные изменения в используемом программном обеспечении / применены новые технологии и автоматизированные системы управления в основных (производственных) бизнес-процессах.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</w:t>
      </w:r>
      <w:r>
        <w:rPr>
          <w:rFonts w:eastAsia="Calibri"/>
          <w:sz w:val="28"/>
          <w:szCs w:val="28"/>
        </w:rPr>
        <w:t xml:space="preserve">ы</w:t>
      </w:r>
      <w:r>
        <w:rPr>
          <w:rFonts w:eastAsia="Calibri"/>
          <w:sz w:val="28"/>
          <w:szCs w:val="28"/>
        </w:rPr>
        <w:t xml:space="preserve"> Этапа: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закреплены КП в моделях процессов или отдельных логических частей процессов в порядке, установленном Положением о системе управления процессами Группы;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  <w:shd w:val="clear" w:color="auto" w:fill="ffff00"/>
        </w:rPr>
      </w:pPr>
      <w:r>
        <w:rPr>
          <w:rFonts w:ascii="Times New Roman" w:hAnsi="Times New Roman"/>
          <w:sz w:val="28"/>
          <w:szCs w:val="28"/>
        </w:rPr>
        <w:t xml:space="preserve">описан (формализован) дизайн КП (ключевые атрибуты, а также порядок выполнения) в утвержденных ЛНД (А), регламентирующих процессы или отдельные логические части процессов.</w:t>
      </w:r>
      <w:r>
        <w:rPr>
          <w:sz w:val="28"/>
          <w:szCs w:val="28"/>
          <w:shd w:val="clear" w:color="auto" w:fill="ffff00"/>
        </w:rPr>
      </w:r>
      <w:r>
        <w:rPr>
          <w:sz w:val="28"/>
          <w:szCs w:val="28"/>
          <w:shd w:val="clear" w:color="auto" w:fill="ffff00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Этап состоит из следующих взаимосвязанных процедур: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контрольных точек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форм и методов контроля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и закрепление (формализация)</w:t>
      </w:r>
      <w:r>
        <w:rPr>
          <w:rFonts w:ascii="Times New Roman" w:hAnsi="Times New Roman"/>
          <w:sz w:val="28"/>
          <w:szCs w:val="28"/>
          <w:vertAlign w:val="superscript"/>
        </w:rPr>
        <w:footnoteReference w:id="11"/>
      </w:r>
      <w:r>
        <w:rPr>
          <w:rFonts w:ascii="Times New Roman" w:hAnsi="Times New Roman"/>
          <w:sz w:val="28"/>
          <w:szCs w:val="28"/>
        </w:rPr>
        <w:t xml:space="preserve"> КП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«Определение контрольных точек бизнес-процесса»: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событиями, </w:t>
      </w:r>
      <w:r>
        <w:rPr>
          <w:color w:val="000000"/>
          <w:sz w:val="28"/>
          <w:szCs w:val="28"/>
        </w:rPr>
        <w:t xml:space="preserve">определенными для Этапа</w:t>
      </w:r>
      <w:r>
        <w:rPr>
          <w:color w:val="000000"/>
          <w:sz w:val="28"/>
          <w:szCs w:val="28"/>
        </w:rPr>
        <w:br w:type="textWrapping" w:clear="all"/>
      </w:r>
      <w:r>
        <w:rPr>
          <w:color w:val="000000"/>
          <w:sz w:val="28"/>
          <w:szCs w:val="28"/>
        </w:rPr>
        <w:t xml:space="preserve">и указанными </w:t>
      </w:r>
      <w:r>
        <w:rPr>
          <w:rFonts w:eastAsia="Calibri"/>
          <w:sz w:val="28"/>
          <w:szCs w:val="28"/>
        </w:rPr>
        <w:t xml:space="preserve">в п. </w:t>
      </w:r>
      <w:r>
        <w:rPr>
          <w:rFonts w:eastAsia="Calibri"/>
          <w:sz w:val="28"/>
          <w:szCs w:val="28"/>
        </w:rPr>
        <w:t xml:space="preserve">8</w:t>
      </w:r>
      <w:r>
        <w:rPr>
          <w:rFonts w:eastAsia="Calibri"/>
          <w:sz w:val="28"/>
          <w:szCs w:val="28"/>
        </w:rPr>
        <w:t xml:space="preserve">.2 Положения.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 процедуры: выявлены обязательные или наиболее оптимальные (с точки зрения соотношения затрат и получаемого эффекта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от контроля) контрольные точки </w:t>
      </w:r>
      <w:r>
        <w:rPr>
          <w:rFonts w:eastAsia="Calibri"/>
          <w:sz w:val="28"/>
          <w:szCs w:val="28"/>
        </w:rPr>
        <w:t xml:space="preserve">бизнес-процесса</w:t>
      </w:r>
      <w:r>
        <w:rPr>
          <w:rFonts w:eastAsia="Calibri"/>
          <w:color w:val="000000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Обязательными контрольными точками для установления КП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ключевых событий </w:t>
      </w:r>
      <w:r>
        <w:rPr>
          <w:rFonts w:ascii="Times New Roman" w:hAnsi="Times New Roman"/>
          <w:sz w:val="28"/>
          <w:szCs w:val="28"/>
        </w:rPr>
        <w:t xml:space="preserve">бизнес</w:t>
      </w:r>
      <w:r>
        <w:rPr>
          <w:rFonts w:ascii="Times New Roman" w:hAnsi="Times New Roman"/>
          <w:sz w:val="28"/>
          <w:szCs w:val="28"/>
        </w:rPr>
        <w:t xml:space="preserve">-процесса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передача полномочий от одного ответственного лица другому;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движение денежных средств и материальных ценностей;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 прав владения, распоряжения и / или пользования;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</w:pPr>
      <w:r>
        <w:rPr>
          <w:rFonts w:ascii="Times New Roman" w:hAnsi="Times New Roman"/>
          <w:sz w:val="28"/>
          <w:szCs w:val="28"/>
        </w:rPr>
        <w:t xml:space="preserve">смена лиц, ответственных за сохранение активов;</w:t>
      </w:r>
      <w:r/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преобразование вида активов (например, деньги – товарно-материальные ценности, материалы – незавершенное производство);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возникновение или смена обязательств (доходных и расходных);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изменение формы передачи информации (например, данные отчета, подготовленного в бумажном виде, заносятся в ИС);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операций, по которым требования НПА предусматривают обязательное исполнение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«Выбор форм и методов контроля бизнес-процесса»: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событием: выявлены обязательные или наиболее оптимальные контрольные точки </w:t>
      </w:r>
      <w:r>
        <w:rPr>
          <w:rFonts w:eastAsia="Calibri"/>
          <w:sz w:val="28"/>
          <w:szCs w:val="28"/>
        </w:rPr>
        <w:t xml:space="preserve">бизнес-процесса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 процедуры: определена оптимальная, по мнению владельца </w:t>
      </w:r>
      <w:r>
        <w:rPr>
          <w:rFonts w:eastAsia="Calibri"/>
          <w:sz w:val="28"/>
          <w:szCs w:val="28"/>
        </w:rPr>
        <w:t xml:space="preserve">процесса</w:t>
      </w:r>
      <w:r>
        <w:rPr>
          <w:rFonts w:eastAsia="Calibri"/>
          <w:sz w:val="28"/>
          <w:szCs w:val="28"/>
        </w:rPr>
        <w:t xml:space="preserve">, </w:t>
      </w:r>
      <w:r>
        <w:rPr>
          <w:rFonts w:eastAsia="Calibri"/>
          <w:color w:val="000000"/>
          <w:sz w:val="28"/>
          <w:szCs w:val="28"/>
        </w:rPr>
        <w:t xml:space="preserve">комбинаци</w:t>
      </w:r>
      <w:r>
        <w:rPr>
          <w:rFonts w:eastAsia="Calibri"/>
          <w:color w:val="000000"/>
          <w:sz w:val="28"/>
          <w:szCs w:val="28"/>
        </w:rPr>
        <w:t xml:space="preserve">я</w:t>
      </w:r>
      <w:r>
        <w:rPr>
          <w:rFonts w:eastAsia="Calibri"/>
          <w:color w:val="000000"/>
          <w:sz w:val="28"/>
          <w:szCs w:val="28"/>
        </w:rPr>
        <w:t xml:space="preserve"> КП для минимизации рисков </w:t>
      </w:r>
      <w:r>
        <w:rPr>
          <w:rFonts w:eastAsia="Calibri"/>
          <w:color w:val="000000"/>
          <w:sz w:val="28"/>
          <w:szCs w:val="28"/>
        </w:rPr>
        <w:t xml:space="preserve">бизнес-процесс</w:t>
      </w:r>
      <w:r>
        <w:rPr>
          <w:rFonts w:eastAsia="Calibri"/>
          <w:color w:val="000000"/>
          <w:sz w:val="28"/>
          <w:szCs w:val="28"/>
        </w:rPr>
        <w:t xml:space="preserve">а</w:t>
      </w:r>
      <w:r>
        <w:rPr>
          <w:rFonts w:eastAsia="Calibri"/>
          <w:color w:val="000000"/>
          <w:sz w:val="28"/>
          <w:szCs w:val="28"/>
        </w:rPr>
        <w:t xml:space="preserve"> и обеспечения получения целевого результата (с учетом требований</w:t>
      </w:r>
      <w:r>
        <w:rPr>
          <w:rFonts w:eastAsia="Calibri"/>
          <w:color w:val="000000"/>
          <w:sz w:val="28"/>
          <w:szCs w:val="28"/>
        </w:rPr>
        <w:br w:type="textWrapping" w:clear="all"/>
      </w:r>
      <w:r>
        <w:rPr>
          <w:rFonts w:eastAsia="Calibri"/>
          <w:color w:val="000000"/>
          <w:sz w:val="28"/>
          <w:szCs w:val="28"/>
        </w:rPr>
        <w:t xml:space="preserve">и рекомендаций, описанных в текущем разделе).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</w:pPr>
      <w:r>
        <w:rPr>
          <w:rFonts w:eastAsia="Calibri"/>
          <w:sz w:val="28"/>
          <w:szCs w:val="28"/>
        </w:rPr>
        <w:t xml:space="preserve">При выборе КП в бизнес-процессах необходимо руководствоваться информацией, указанной в Таблице 1, и классификацией КП, представленной в </w:t>
      </w:r>
      <w:r>
        <w:fldChar w:fldCharType="begin"/>
      </w:r>
      <w:r>
        <w:instrText xml:space="preserve"> HYPERLINK  \l "_ПРИЛОЖЕНИЕ_4_1"</w:instrText>
      </w:r>
      <w:r>
        <w:fldChar w:fldCharType="separate"/>
      </w:r>
      <w:r>
        <w:rPr>
          <w:rStyle w:val="1265"/>
          <w:rFonts w:eastAsia="Calibri"/>
          <w:sz w:val="28"/>
          <w:szCs w:val="28"/>
        </w:rPr>
        <w:t xml:space="preserve">Приложении 4</w:t>
      </w:r>
      <w:r>
        <w:fldChar w:fldCharType="end"/>
      </w:r>
      <w:r>
        <w:rPr>
          <w:rFonts w:eastAsia="Calibri"/>
          <w:sz w:val="28"/>
          <w:szCs w:val="28"/>
        </w:rPr>
        <w:t xml:space="preserve"> к Положению.</w:t>
      </w:r>
      <w:r/>
    </w:p>
    <w:p>
      <w:pPr>
        <w:pStyle w:val="1128"/>
        <w:ind w:left="567" w:right="-141"/>
        <w:jc w:val="right"/>
        <w:keepNext/>
        <w:spacing w:before="120" w:after="120"/>
        <w:widowControl w:val="off"/>
        <w:rPr>
          <w:b/>
          <w:szCs w:val="28"/>
        </w:rPr>
      </w:pPr>
      <w:r>
        <w:t xml:space="preserve">Таблица 1 – Информация к руководству при разработке КП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4908" w:type="pct"/>
        <w:jc w:val="center"/>
        <w:tblInd w:w="267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238"/>
        <w:gridCol w:w="7854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8" w:type="dxa"/>
            <w:vAlign w:val="top"/>
            <w:textDirection w:val="lrTb"/>
            <w:noWrap w:val="false"/>
          </w:tcPr>
          <w:p>
            <w:pPr>
              <w:pStyle w:val="1128"/>
              <w:ind w:right="40"/>
              <w:jc w:val="center"/>
              <w:keepNext/>
              <w:spacing w:after="60"/>
              <w:widowControl w:val="off"/>
            </w:pPr>
            <w:r>
              <w:rPr>
                <w:b/>
                <w:szCs w:val="28"/>
              </w:rPr>
              <w:t xml:space="preserve">Информация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53" w:type="dxa"/>
            <w:vAlign w:val="top"/>
            <w:textDirection w:val="lrTb"/>
            <w:noWrap w:val="false"/>
          </w:tcPr>
          <w:p>
            <w:pPr>
              <w:pStyle w:val="1128"/>
              <w:ind w:left="567" w:right="-141"/>
              <w:jc w:val="center"/>
              <w:keepNext/>
              <w:spacing w:after="60"/>
              <w:widowControl w:val="off"/>
            </w:pPr>
            <w:r>
              <w:rPr>
                <w:b/>
                <w:szCs w:val="28"/>
              </w:rPr>
              <w:t xml:space="preserve">Содержание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8" w:type="dxa"/>
            <w:vAlign w:val="top"/>
            <w:textDirection w:val="lrTb"/>
            <w:noWrap w:val="false"/>
          </w:tcPr>
          <w:p>
            <w:pPr>
              <w:pStyle w:val="1128"/>
              <w:ind w:right="40"/>
              <w:jc w:val="both"/>
              <w:keepLines/>
              <w:spacing w:after="60"/>
            </w:pPr>
            <w:r>
              <w:rPr>
                <w:szCs w:val="28"/>
              </w:rPr>
              <w:t xml:space="preserve">Понимание и описание </w:t>
            </w:r>
            <w:r>
              <w:rPr>
                <w:szCs w:val="28"/>
              </w:rPr>
              <w:t xml:space="preserve">бизнес-процесса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53" w:type="dxa"/>
            <w:vAlign w:val="top"/>
            <w:textDirection w:val="lrTb"/>
            <w:noWrap w:val="false"/>
          </w:tcPr>
          <w:p>
            <w:pPr>
              <w:pStyle w:val="1128"/>
              <w:ind w:left="22" w:right="143" w:firstLine="545"/>
              <w:jc w:val="both"/>
              <w:spacing w:after="60"/>
            </w:pPr>
            <w:r>
              <w:rPr>
                <w:szCs w:val="28"/>
              </w:rPr>
              <w:t xml:space="preserve">Определение целей </w:t>
            </w:r>
            <w:r>
              <w:rPr>
                <w:szCs w:val="28"/>
              </w:rPr>
              <w:t xml:space="preserve">бизнес-процесса</w:t>
            </w:r>
            <w:r>
              <w:rPr>
                <w:szCs w:val="28"/>
              </w:rPr>
              <w:t xml:space="preserve">, его задач, ключевых показателей эффективности, последовательности этапов, процедур и операций, исполнителей, движения информации, используемых программных продуктов на основании документа</w:t>
            </w:r>
            <w:r>
              <w:rPr>
                <w:szCs w:val="28"/>
              </w:rPr>
              <w:t xml:space="preserve">ции, подтверждающей последовательное выполнение этапов, процедур и операций бизнес-процесса (отчеты ИС, первичные документы управленческого / бухгалтерского учета, организационно-распорядительные документы (Приказ, Распоряжение) и иные формы подтверждения)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8" w:type="dxa"/>
            <w:vAlign w:val="top"/>
            <w:textDirection w:val="lrTb"/>
            <w:noWrap w:val="false"/>
          </w:tcPr>
          <w:p>
            <w:pPr>
              <w:pStyle w:val="1128"/>
              <w:ind w:right="40"/>
              <w:jc w:val="both"/>
              <w:spacing w:after="60"/>
            </w:pPr>
            <w:r>
              <w:rPr>
                <w:szCs w:val="28"/>
              </w:rPr>
              <w:t xml:space="preserve">Понимание рисков в </w:t>
            </w:r>
            <w:r>
              <w:rPr>
                <w:szCs w:val="28"/>
              </w:rPr>
              <w:t xml:space="preserve">бизнес-процессе</w:t>
            </w:r>
            <w:r>
              <w:rPr>
                <w:szCs w:val="28"/>
              </w:rPr>
              <w:t xml:space="preserve"> и причин их возникновения с оценками возможного уровня вероятности реализации и уровня последствий в случае реализации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53" w:type="dxa"/>
            <w:vAlign w:val="top"/>
            <w:textDirection w:val="lrTb"/>
            <w:noWrap w:val="false"/>
          </w:tcPr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Влияние результатов </w:t>
            </w:r>
            <w:r>
              <w:rPr>
                <w:szCs w:val="28"/>
              </w:rPr>
              <w:t xml:space="preserve">бизнес-процесса </w:t>
            </w:r>
            <w:r>
              <w:rPr>
                <w:szCs w:val="28"/>
              </w:rPr>
              <w:t xml:space="preserve">на риск-аппетит</w:t>
            </w:r>
            <w:r>
              <w:rPr>
                <w:szCs w:val="28"/>
              </w:rPr>
              <w:br w:type="textWrapping" w:clear="all"/>
            </w:r>
            <w:r>
              <w:rPr>
                <w:szCs w:val="28"/>
              </w:rPr>
              <w:t xml:space="preserve">и показатели, отражающие удержание риск-аппетита в допустимом диапазоне значений.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Анализ рисков, возникающих в </w:t>
            </w:r>
            <w:r>
              <w:rPr>
                <w:szCs w:val="28"/>
              </w:rPr>
              <w:t xml:space="preserve">бизнес-процессе</w:t>
            </w:r>
            <w:r>
              <w:rPr>
                <w:szCs w:val="28"/>
              </w:rPr>
              <w:t xml:space="preserve">, включая специфические риски, которые возникают из самой природы бизнеса или из невозможности достижения соответствующих целей </w:t>
            </w:r>
            <w:r>
              <w:rPr>
                <w:szCs w:val="28"/>
              </w:rPr>
              <w:t xml:space="preserve">бизнес-процесса</w:t>
            </w:r>
            <w:r>
              <w:rPr>
                <w:szCs w:val="28"/>
              </w:rPr>
              <w:t xml:space="preserve">, а также риски, присущие всем </w:t>
            </w:r>
            <w:r>
              <w:rPr>
                <w:szCs w:val="28"/>
              </w:rPr>
              <w:t xml:space="preserve">бизнес-процессам</w:t>
            </w:r>
            <w:r>
              <w:rPr>
                <w:szCs w:val="28"/>
              </w:rPr>
              <w:t xml:space="preserve">.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Анализ причин и условий возникновения рисков, возникающих</w:t>
            </w:r>
            <w:r>
              <w:rPr>
                <w:szCs w:val="28"/>
              </w:rPr>
              <w:br w:type="textWrapping" w:clear="all"/>
            </w:r>
            <w:r>
              <w:rPr>
                <w:szCs w:val="28"/>
              </w:rPr>
              <w:t xml:space="preserve">в </w:t>
            </w:r>
            <w:r>
              <w:rPr>
                <w:szCs w:val="28"/>
              </w:rPr>
              <w:t xml:space="preserve">бизнес-процессе</w:t>
            </w:r>
            <w:r>
              <w:rPr>
                <w:szCs w:val="28"/>
              </w:rPr>
              <w:t xml:space="preserve">.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Анализ возможного мошенничества, коррупции, злоупотребления, хищения, условий, при которых возникают возможности для их совершения при реализации </w:t>
            </w:r>
            <w:r>
              <w:rPr>
                <w:szCs w:val="28"/>
              </w:rPr>
              <w:t xml:space="preserve">бизнес-процесса</w:t>
            </w:r>
            <w:r>
              <w:rPr>
                <w:szCs w:val="28"/>
              </w:rPr>
              <w:t xml:space="preserve">.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Оценка вероятности возникновения рисков </w:t>
            </w:r>
            <w:r>
              <w:rPr>
                <w:szCs w:val="28"/>
              </w:rPr>
              <w:t xml:space="preserve">бизнес-процесса</w:t>
            </w:r>
            <w:r>
              <w:rPr>
                <w:szCs w:val="28"/>
              </w:rPr>
              <w:br w:type="textWrapping" w:clear="all"/>
            </w:r>
            <w:r>
              <w:rPr>
                <w:szCs w:val="28"/>
              </w:rPr>
              <w:t xml:space="preserve">и их последствия. При оценке указанных рисков используют статистические данные по реализовавшимся рискам в </w:t>
            </w:r>
            <w:r>
              <w:rPr>
                <w:szCs w:val="28"/>
              </w:rPr>
              <w:t xml:space="preserve">бизнес-процессе</w:t>
            </w:r>
            <w:r>
              <w:rPr>
                <w:szCs w:val="28"/>
              </w:rPr>
              <w:t xml:space="preserve">.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szCs w:val="28"/>
              </w:rPr>
            </w:pPr>
            <w:r>
              <w:rPr>
                <w:szCs w:val="28"/>
              </w:rPr>
              <w:t xml:space="preserve">Определение мер реагирования на риски, возникающие в </w:t>
            </w:r>
            <w:r>
              <w:rPr>
                <w:szCs w:val="28"/>
              </w:rPr>
              <w:t xml:space="preserve">бизнес-процессе </w:t>
            </w:r>
            <w:r>
              <w:rPr>
                <w:szCs w:val="28"/>
              </w:rPr>
              <w:t xml:space="preserve">при выполнении операций. Большинство мер реагирования на риски являются частью внутреннего контроля </w:t>
            </w:r>
            <w:r>
              <w:rPr>
                <w:szCs w:val="28"/>
              </w:rPr>
              <w:t xml:space="preserve">бизнес-процесса</w:t>
            </w:r>
            <w:r>
              <w:rPr>
                <w:szCs w:val="28"/>
              </w:rPr>
              <w:br w:type="textWrapping" w:clear="all"/>
            </w:r>
            <w:r>
              <w:rPr>
                <w:szCs w:val="28"/>
              </w:rPr>
              <w:t xml:space="preserve">и реализуются через выполнение КП. </w:t>
            </w:r>
            <w:r>
              <w:rPr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</w:pPr>
            <w:r>
              <w:rPr>
                <w:szCs w:val="28"/>
              </w:rPr>
              <w:t xml:space="preserve">Отдельные меры реагирования на риски реализуются через специальные мероприятия по управлению рисками (определены Положением об управлении рисками Группы РусГидро</w:t>
            </w:r>
            <w:r>
              <w:rPr>
                <w:rStyle w:val="1311"/>
                <w:rFonts w:ascii="Symbol" w:hAnsi="Symbol" w:cs="Symbol"/>
                <w:szCs w:val="28"/>
              </w:rPr>
              <w:footnoteReference w:id="12"/>
            </w:r>
            <w:r>
              <w:rPr>
                <w:szCs w:val="28"/>
              </w:rPr>
              <w:t xml:space="preserve">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8" w:type="dxa"/>
            <w:vAlign w:val="top"/>
            <w:textDirection w:val="lrTb"/>
            <w:noWrap w:val="false"/>
          </w:tcPr>
          <w:p>
            <w:pPr>
              <w:pStyle w:val="1128"/>
              <w:ind w:right="40"/>
              <w:jc w:val="both"/>
              <w:spacing w:after="60"/>
            </w:pPr>
            <w:r>
              <w:rPr>
                <w:szCs w:val="28"/>
              </w:rPr>
              <w:t xml:space="preserve">Рекомендации по применению </w:t>
            </w:r>
            <w:r>
              <w:rPr>
                <w:szCs w:val="28"/>
                <w:lang w:val="en-US"/>
              </w:rPr>
              <w:t xml:space="preserve">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53" w:type="dxa"/>
            <w:vAlign w:val="top"/>
            <w:textDirection w:val="lrTb"/>
            <w:noWrap w:val="false"/>
          </w:tcPr>
          <w:p>
            <w:pPr>
              <w:pStyle w:val="1128"/>
              <w:ind w:left="22" w:right="143" w:firstLine="545"/>
              <w:jc w:val="both"/>
              <w:spacing w:after="60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Соблюдение надлежащего разделения обязанностей</w:t>
            </w:r>
            <w:r>
              <w:rPr>
                <w:i/>
                <w:szCs w:val="28"/>
              </w:rPr>
              <w:br w:type="textWrapping" w:clear="all"/>
            </w:r>
            <w:r>
              <w:rPr>
                <w:i/>
                <w:szCs w:val="28"/>
              </w:rPr>
              <w:t xml:space="preserve">и разграничения прав доступа.</w:t>
            </w:r>
            <w:r>
              <w:rPr>
                <w:szCs w:val="28"/>
              </w:rPr>
              <w:t xml:space="preserve"> Следует избегать совмещения одним лицом</w:t>
            </w:r>
            <w:r>
              <w:rPr>
                <w:szCs w:val="28"/>
              </w:rPr>
              <w:t xml:space="preserve"> любых двух функций: инициация операций, авторизация операций, осуществление операций с активами и контроль их сохранности, отражение операций в управленческом / бухгалтерском учете, выполнение КП, разделение обязанностей и разграничение прав доступа в ИС.</w:t>
            </w:r>
            <w:r>
              <w:rPr>
                <w:i/>
                <w:szCs w:val="28"/>
              </w:rPr>
            </w:r>
            <w:r>
              <w:rPr>
                <w:i/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Распределение полномочий.</w:t>
            </w:r>
            <w:r>
              <w:rPr>
                <w:szCs w:val="28"/>
              </w:rPr>
              <w:t xml:space="preserve"> В </w:t>
            </w:r>
            <w:r>
              <w:rPr>
                <w:szCs w:val="28"/>
              </w:rPr>
              <w:t xml:space="preserve">бизнес-процессе </w:t>
            </w:r>
            <w:r>
              <w:rPr>
                <w:szCs w:val="28"/>
              </w:rPr>
              <w:t xml:space="preserve">должен быть определен порядок принятия решений при выполнении каждой КП,</w:t>
            </w:r>
            <w:r>
              <w:rPr>
                <w:szCs w:val="28"/>
              </w:rPr>
              <w:br w:type="textWrapping" w:clear="all"/>
            </w:r>
            <w:r>
              <w:rPr>
                <w:szCs w:val="28"/>
              </w:rPr>
              <w:t xml:space="preserve">а также однозначное определение права на согласование, утверждение (авторизацию) операций в </w:t>
            </w:r>
            <w:r>
              <w:rPr>
                <w:szCs w:val="28"/>
              </w:rPr>
              <w:t xml:space="preserve">бизнес-процессе</w:t>
            </w:r>
            <w:r>
              <w:rPr>
                <w:szCs w:val="28"/>
              </w:rPr>
              <w:t xml:space="preserve">.</w:t>
            </w:r>
            <w:r>
              <w:rPr>
                <w:i/>
                <w:szCs w:val="28"/>
              </w:rPr>
            </w:r>
            <w:r>
              <w:rPr>
                <w:i/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Обеспечение сохранности активов.</w:t>
            </w:r>
            <w:r>
              <w:rPr>
                <w:szCs w:val="28"/>
              </w:rPr>
              <w:t xml:space="preserve"> КП должны обеспечивать сохранность активов Группы.</w:t>
            </w:r>
            <w:r>
              <w:rPr>
                <w:i/>
                <w:szCs w:val="28"/>
              </w:rPr>
            </w:r>
            <w:r>
              <w:rPr>
                <w:i/>
                <w:szCs w:val="28"/>
              </w:rPr>
            </w:r>
          </w:p>
          <w:p>
            <w:pPr>
              <w:pStyle w:val="1128"/>
              <w:ind w:left="22" w:right="143" w:firstLine="545"/>
              <w:jc w:val="both"/>
              <w:spacing w:after="60"/>
            </w:pPr>
            <w:r>
              <w:rPr>
                <w:i/>
                <w:szCs w:val="28"/>
              </w:rPr>
              <w:t xml:space="preserve">Снижение риска мошенничества и коррупции</w:t>
            </w:r>
            <w:r>
              <w:rPr>
                <w:szCs w:val="28"/>
              </w:rPr>
              <w:t xml:space="preserve">, возникающего вследствие совершения умышленных действий</w:t>
            </w:r>
            <w:r/>
          </w:p>
        </w:tc>
      </w:tr>
    </w:tbl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«Описание и закрепление (формализация) КП»: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событием: определена оптимальная, по мнению владельца </w:t>
      </w:r>
      <w:r>
        <w:rPr>
          <w:rFonts w:eastAsia="Calibri"/>
          <w:sz w:val="28"/>
          <w:szCs w:val="28"/>
        </w:rPr>
        <w:t xml:space="preserve">процесса</w:t>
      </w:r>
      <w:r>
        <w:rPr>
          <w:rFonts w:eastAsia="Calibri"/>
          <w:sz w:val="28"/>
          <w:szCs w:val="28"/>
        </w:rPr>
        <w:t xml:space="preserve">, </w:t>
      </w:r>
      <w:r>
        <w:rPr>
          <w:rFonts w:eastAsia="Calibri"/>
          <w:color w:val="000000"/>
          <w:sz w:val="28"/>
          <w:szCs w:val="28"/>
        </w:rPr>
        <w:t xml:space="preserve">комбинаци</w:t>
      </w:r>
      <w:r>
        <w:rPr>
          <w:rFonts w:eastAsia="Calibri"/>
          <w:color w:val="000000"/>
          <w:sz w:val="28"/>
          <w:szCs w:val="28"/>
        </w:rPr>
        <w:t xml:space="preserve">я</w:t>
      </w:r>
      <w:r>
        <w:rPr>
          <w:rFonts w:eastAsia="Calibri"/>
          <w:color w:val="000000"/>
          <w:sz w:val="28"/>
          <w:szCs w:val="28"/>
        </w:rPr>
        <w:t xml:space="preserve"> КП для минимизации рисков </w:t>
      </w:r>
      <w:r>
        <w:rPr>
          <w:rFonts w:eastAsia="Calibri"/>
          <w:color w:val="000000"/>
          <w:sz w:val="28"/>
          <w:szCs w:val="28"/>
        </w:rPr>
        <w:t xml:space="preserve">бизнес-процесса</w:t>
      </w:r>
      <w:r>
        <w:rPr>
          <w:rFonts w:eastAsia="Calibri"/>
          <w:color w:val="000000"/>
          <w:sz w:val="28"/>
          <w:szCs w:val="28"/>
        </w:rPr>
        <w:t xml:space="preserve"> и обеспечения получения целевого результата.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</w:t>
      </w:r>
      <w:r>
        <w:rPr>
          <w:rFonts w:eastAsia="Calibri"/>
          <w:sz w:val="28"/>
          <w:szCs w:val="28"/>
        </w:rPr>
        <w:t xml:space="preserve">ы</w:t>
      </w:r>
      <w:r>
        <w:rPr>
          <w:rFonts w:eastAsia="Calibri"/>
          <w:sz w:val="28"/>
          <w:szCs w:val="28"/>
        </w:rPr>
        <w:t xml:space="preserve"> процедуры: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закреплены КП в моделях процессов или отдельных логических частей процессов в порядке, установленном Положением о системе управления процессами Группы;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 (формализован) дизайн КП (ключевые атрибуты, а также порядок выполнения) в утвержденных ЛНД (А), регламентирующих процессы или отдельные логические части 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описании дизайна КП указываются следующие атрибуты: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выполнения КП (объект и задачи контроля);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исполнитель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действий, выполняемых в рамках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частота и срок выполнения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контроля (технические средства, ИС, документы и отчеты);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выполнения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документальное подтверждение выполнения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Дизайн КП бизнес-процесса закрепляется (</w:t>
      </w:r>
      <w:r>
        <w:rPr>
          <w:sz w:val="28"/>
          <w:szCs w:val="28"/>
        </w:rPr>
        <w:t xml:space="preserve">формализуется) в ЛНД (А) Общества и ПО, регламентирующих порядок реализации процессов, пересматривается и обновляется на регулярной основе с целью отражения изменений в деятельности </w:t>
      </w:r>
      <w:r>
        <w:rPr>
          <w:sz w:val="28"/>
          <w:szCs w:val="28"/>
        </w:rPr>
        <w:t xml:space="preserve">бизнес-процесса</w:t>
      </w:r>
      <w:r>
        <w:rPr>
          <w:sz w:val="28"/>
          <w:szCs w:val="28"/>
        </w:rPr>
        <w:t xml:space="preserve">, а также требований применимого законодательства.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Дизайн КП документируется в формате Матрицы рисков и КП (</w:t>
      </w:r>
      <w:r>
        <w:fldChar w:fldCharType="begin"/>
      </w:r>
      <w:r>
        <w:instrText xml:space="preserve"> HYPERLINK  \l "_ПРИЛОЖЕНИЕ_5"</w:instrText>
      </w:r>
      <w:r>
        <w:fldChar w:fldCharType="separate"/>
      </w:r>
      <w:r>
        <w:rPr>
          <w:rStyle w:val="1265"/>
          <w:rFonts w:eastAsia="Calibri"/>
          <w:sz w:val="28"/>
          <w:szCs w:val="28"/>
        </w:rPr>
        <w:t xml:space="preserve">Приложение 5</w:t>
      </w:r>
      <w:r>
        <w:fldChar w:fldCharType="end"/>
      </w:r>
      <w:r>
        <w:rPr>
          <w:rFonts w:eastAsia="Calibri"/>
          <w:sz w:val="28"/>
          <w:szCs w:val="28"/>
        </w:rPr>
        <w:t xml:space="preserve"> к Положению) владельцем процесса  по существенным рискам и КП в следующих случаях: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проверочных мероприятий и при одновременном отсутствии регламентирующего документа по процессу;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наличии запросов внешних органов;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передаче на обслуживание части </w:t>
      </w:r>
      <w:r>
        <w:rPr>
          <w:rFonts w:ascii="Times New Roman" w:hAnsi="Times New Roman"/>
          <w:sz w:val="28"/>
          <w:szCs w:val="28"/>
        </w:rPr>
        <w:t xml:space="preserve">бизнес-процесса </w:t>
      </w:r>
      <w:r>
        <w:rPr>
          <w:rFonts w:ascii="Times New Roman" w:hAnsi="Times New Roman"/>
          <w:sz w:val="28"/>
          <w:szCs w:val="28"/>
        </w:rPr>
        <w:t xml:space="preserve">в другую организацию (использование аутсорсинговых услуг)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индивидуальном / совместном решении владельца процесса и директора по </w:t>
      </w:r>
      <w:r>
        <w:rPr>
          <w:rFonts w:ascii="Times New Roman" w:hAnsi="Times New Roman"/>
          <w:sz w:val="28"/>
          <w:szCs w:val="28"/>
        </w:rPr>
        <w:t xml:space="preserve">внутреннему контролю и управлению рисками – главного аудитора.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КП являются неотъемлемой частью бизнес-процесса (встроены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цепочку процедур, выполняемых для получения целевого результата).</w:t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Результаты выполнения КП в Группе надлежащим</w:t>
      </w:r>
      <w:r>
        <w:rPr>
          <w:sz w:val="28"/>
          <w:szCs w:val="28"/>
        </w:rPr>
        <w:t xml:space="preserve"> образом документируются и сохраняются, имея документальный «след», подтверждающий выполнение КП. </w:t>
      </w:r>
      <w:r>
        <w:rPr>
          <w:sz w:val="28"/>
          <w:szCs w:val="28"/>
        </w:rPr>
      </w:r>
    </w:p>
    <w:p>
      <w:pPr>
        <w:pStyle w:val="1128"/>
        <w:ind w:left="567" w:right="-141" w:firstLine="567"/>
        <w:jc w:val="both"/>
        <w:spacing w:before="120" w:after="120"/>
        <w:widowControl w:val="off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К документальным «следам» КП относятся подписи, визы, печати, статус операции в ИС, протоколы, распорядительные документы. 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выбор и формализацию КП несет ответственность владелец процесса.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0"/>
          <w:numId w:val="7"/>
        </w:numPr>
        <w:ind w:left="567" w:right="-141" w:firstLine="567"/>
        <w:jc w:val="both"/>
        <w:keepLines/>
        <w:keepNext/>
        <w:spacing w:before="240" w:after="240"/>
        <w:tabs>
          <w:tab w:val="left" w:pos="993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 xml:space="preserve"> </w:t>
      </w:r>
      <w:bookmarkStart w:id="25" w:name="_Toc223079246"/>
      <w:r>
        <w:rPr>
          <w:sz w:val="28"/>
          <w:szCs w:val="28"/>
        </w:rPr>
        <w:t xml:space="preserve">ЭТАП «МОНИТОРИНГ ВНУТРЕННЕГО КОНТРОЛЯ БИЗНЕС-ПРОЦЕССОВ»</w:t>
      </w:r>
      <w:bookmarkEnd w:id="25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Целью Этапа является получение: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подтверждения, что все элементы внутреннего контроля </w:t>
      </w:r>
      <w:r>
        <w:rPr>
          <w:rFonts w:ascii="Times New Roman" w:hAnsi="Times New Roman"/>
          <w:sz w:val="28"/>
          <w:szCs w:val="28"/>
        </w:rPr>
        <w:t xml:space="preserve">бизнес-процесса </w:t>
      </w:r>
      <w:r>
        <w:rPr>
          <w:rFonts w:ascii="Times New Roman" w:hAnsi="Times New Roman"/>
          <w:sz w:val="28"/>
          <w:szCs w:val="28"/>
        </w:rPr>
        <w:t xml:space="preserve">есть в наличии и работают корректно;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подтверждения достаточности и эффективности КП для минимизации рисков и достижения целевых результатов </w:t>
      </w:r>
      <w:r>
        <w:rPr>
          <w:rFonts w:ascii="Times New Roman" w:hAnsi="Times New Roman"/>
          <w:sz w:val="28"/>
          <w:szCs w:val="28"/>
        </w:rPr>
        <w:t xml:space="preserve">бизнес-процесса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информации для выполнения мероприятий по совершенствованию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развитию СВКиУР в части оптимизации контроля на уровне бизнес-процессов.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Инициирующими событиями Этапа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 развития СВКиУР, наступил срок выполнения мероприятия плана по направлению мониторинг;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план-график МОК на календарный год, содержащий мероприятия по оценке операционной эффективности КП;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 КМ на календарный год, содержащий мероприятия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оценке операционной эффективности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руководством инициировано проведение внеплановой оценки эффективности дизайна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руководством инициировано проведение внеплановой оценки операционной эффективности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выполнены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</w:t>
      </w:r>
      <w:r>
        <w:rPr>
          <w:rFonts w:eastAsia="Calibri"/>
          <w:sz w:val="28"/>
          <w:szCs w:val="28"/>
        </w:rPr>
        <w:t xml:space="preserve">ы</w:t>
      </w:r>
      <w:r>
        <w:rPr>
          <w:rFonts w:eastAsia="Calibri"/>
          <w:sz w:val="28"/>
          <w:szCs w:val="28"/>
        </w:rPr>
        <w:t xml:space="preserve"> Этапа: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подтверждены достаточность и эффективность дизайна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выявлены недостаточность / избыточность КП, а также недостатки дизайна существующих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решение и сформировано понимание о том, как оптимизировать контроль бизнес-процесс с целью минимизации рисков и получения целевого результата;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владельцу </w:t>
      </w:r>
      <w:r>
        <w:rPr>
          <w:rFonts w:ascii="Times New Roman" w:hAnsi="Times New Roman"/>
          <w:sz w:val="28"/>
          <w:szCs w:val="28"/>
        </w:rPr>
        <w:t xml:space="preserve">процесса (а также иным заинтересованным лица по решению директора по внутреннему контролю и управлению рисками – главного аудитора) представлен отчет по результатам самооценки внутреннего контроля бизнес-процесса, содержащий оценку эффективности дизайна КП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организации внутреннего контроля бизнес-процесса в целом;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заинтересованным лицам в с</w:t>
      </w:r>
      <w:r>
        <w:rPr>
          <w:rFonts w:ascii="Times New Roman" w:hAnsi="Times New Roman"/>
          <w:sz w:val="28"/>
          <w:szCs w:val="28"/>
        </w:rPr>
        <w:t xml:space="preserve">оответствии с установленным порядком представлен отчет по результатам МОК или КМ, содержащий оценку достаточности и операционной эффективности (результаты тестирования практики выполнения) КП и рекомендации по устранению выявленных нарушений и недостатков;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предложения по изменению подходов к организации внутреннего контроля и оптимизации бизнес-процессов.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1"/>
          <w:numId w:val="7"/>
        </w:numPr>
        <w:ind w:left="567" w:right="-141" w:firstLine="567"/>
        <w:jc w:val="both"/>
        <w:spacing w:before="120" w:after="1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Этап состоит из следующих взаимосвязанных процедур: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непрерывная оценка внутреннего контроля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самооценка эффективности внутреннего контроля бизнес-процесса;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операционной эффективности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«Непрерывная оценка внутреннего контроля </w:t>
      </w:r>
      <w:r>
        <w:rPr>
          <w:sz w:val="28"/>
          <w:szCs w:val="28"/>
        </w:rPr>
        <w:t xml:space="preserve">бизнес-процесса</w:t>
      </w:r>
      <w:r>
        <w:rPr>
          <w:rFonts w:eastAsia="Calibri"/>
          <w:sz w:val="28"/>
          <w:szCs w:val="28"/>
        </w:rPr>
        <w:t xml:space="preserve">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после или в процессе выполнения КП в рамках регулярного мониторинга функционирования процессов в соответствии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с Положением о системе управления процессами Группы РусГидро.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</w:t>
      </w:r>
      <w:r>
        <w:rPr>
          <w:rFonts w:eastAsia="Calibri"/>
          <w:sz w:val="28"/>
          <w:szCs w:val="28"/>
        </w:rPr>
        <w:t xml:space="preserve">ы</w:t>
      </w:r>
      <w:r>
        <w:rPr>
          <w:rFonts w:eastAsia="Calibri"/>
          <w:sz w:val="28"/>
          <w:szCs w:val="28"/>
        </w:rPr>
        <w:t xml:space="preserve"> процедуры: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подтверждены достаточность и эффективность дизайна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выявлены недостаточность / избыточность КП, а также недостатки дизайна существующих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решение и сформировано понимание о том, как оптимизировать контроль </w:t>
      </w:r>
      <w:r>
        <w:rPr>
          <w:rFonts w:ascii="Times New Roman" w:hAnsi="Times New Roman"/>
          <w:sz w:val="28"/>
          <w:szCs w:val="28"/>
        </w:rPr>
        <w:t xml:space="preserve">бизнес-процесса </w:t>
      </w:r>
      <w:r>
        <w:rPr>
          <w:rFonts w:ascii="Times New Roman" w:hAnsi="Times New Roman"/>
          <w:sz w:val="28"/>
          <w:szCs w:val="28"/>
        </w:rPr>
        <w:t xml:space="preserve">с целью минимизации рисков и получения целевого результата.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является формой непрерывного мониторинга эффективности КП со стороны владельцев процессов с целью оперативного реагирования на изменяющиеся условия.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осуществляется на системной основе в рамках регулярного мониторинга функционирования процессов в соответствии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с Положением о системе управления процессами Группы РусГидро.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организуется владельцами процессов посредством вовлечения работников, обладающих достаточной компетенцией и опытом.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«Самооценка эффективности внутреннего контроля </w:t>
      </w:r>
      <w:r>
        <w:rPr>
          <w:rFonts w:eastAsia="Calibri"/>
          <w:sz w:val="28"/>
          <w:szCs w:val="28"/>
        </w:rPr>
        <w:t xml:space="preserve">бизнес-процесса</w:t>
      </w:r>
      <w:r>
        <w:rPr>
          <w:rFonts w:eastAsia="Calibri"/>
          <w:sz w:val="28"/>
          <w:szCs w:val="28"/>
        </w:rPr>
        <w:t xml:space="preserve">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событиями: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 развития СВКиУР, и наступил срок выполнения мероприятия плана по направлению мониторинг;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руководством Общества инициировано проведение внеплановой оценки эффективности дизайна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Результат процедуры: </w:t>
      </w:r>
      <w:r>
        <w:rPr>
          <w:sz w:val="28"/>
          <w:szCs w:val="28"/>
        </w:rPr>
        <w:t xml:space="preserve">владельцу процесса (а также иным заинтересованным лицам по решению дире</w:t>
      </w:r>
      <w:r>
        <w:rPr>
          <w:sz w:val="28"/>
          <w:szCs w:val="28"/>
        </w:rPr>
        <w:t xml:space="preserve">ктора по внутреннему контролю и управлению рисками – главного аудитора) представлен отчет по результатам самооценки внутреннего контроля бизнес-процесса, содержащий оценку эффективности дизайна КП и организации внутреннего контроля бизнес-процесса в целом.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Целью процедуры является выявление недостатков дизайна существующих КП, определение достаточности КП (выявление недостаточности или избыточности КП) и оценка зрелости внутреннего контроля бизнес-процессов в целом.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является формой периодического мониторинга эффективности внутреннего контроля бизнес-процессов со стороны владельцев процесса при методологической поддержке ДКиУР, при необходимости –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с участием работников ДКиУР.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проводится по инициативе ДКиУР или владельца процесса не реже 1 (одного) раза в 3 (три) года.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Процедура может проводиться по отдельным</w:t>
      </w:r>
      <w:r>
        <w:rPr>
          <w:rFonts w:eastAsia="Calibri"/>
          <w:sz w:val="28"/>
          <w:szCs w:val="28"/>
        </w:rPr>
        <w:t xml:space="preserve"> сценариям или этапам в рамках б</w:t>
      </w:r>
      <w:r>
        <w:rPr>
          <w:rFonts w:eastAsia="Calibri"/>
          <w:sz w:val="28"/>
          <w:szCs w:val="28"/>
        </w:rPr>
        <w:t xml:space="preserve">изнес-процесса.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Порядок проведения процедуры, а также необходимые аналитические формы и критерии самооценки определяются ДКиУР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и закрепляются отдельным регламентирующим ЛНД (А), либо их описание прилагается к служебному письму, направляемому владельцу процесса при инициировании проведения самооценки.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Дизайн КП признается эффективным, если: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элементы управления внутренним контролем работают совместно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взаимосвязаны между собой;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бизнес-процессе внедрены и на практике реализуются необходимые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достаточные КП, которые снижают уровень рисков и обеспечивают разумную уверенность в достижении поставленных целей (получении целевого результата);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мероприятия, направленные на снижение вероятности реализации рисков;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осуществляется в соответствии с применимым законодательством и регулирующими правилами;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 контроль исполнительской дисциплины, исполнение ЛНД (А) Общества и ПО.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Дизайн КП признается неэффективным, если по результатам самооценки установлено одно или несколько следующих отклонений: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установлен один или несколько атр</w:t>
      </w:r>
      <w:r>
        <w:rPr>
          <w:rFonts w:ascii="Times New Roman" w:hAnsi="Times New Roman"/>
          <w:sz w:val="28"/>
          <w:szCs w:val="28"/>
        </w:rPr>
        <w:t xml:space="preserve">ибутов КП, перечисленных </w:t>
        <w:br w:type="textWrapping" w:clear="all"/>
        <w:t xml:space="preserve">в п. 8</w:t>
      </w:r>
      <w:r>
        <w:rPr>
          <w:rFonts w:ascii="Times New Roman" w:hAnsi="Times New Roman"/>
          <w:sz w:val="28"/>
          <w:szCs w:val="28"/>
        </w:rPr>
        <w:t xml:space="preserve">.4</w:t>
      </w:r>
      <w:r>
        <w:rPr>
          <w:rFonts w:ascii="Times New Roman" w:hAnsi="Times New Roman"/>
          <w:sz w:val="28"/>
          <w:szCs w:val="28"/>
        </w:rPr>
        <w:t xml:space="preserve">.3.3 Положения;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КП не задокументированы или описание КП не актуализировано;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фактическое исполнение КП не совпадает с описанием;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затраты на поддержание КП превышают выгоды от ее выполнения;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установлены избыточные КП.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  <w:tab w:val="left" w:pos="184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Устранение выявленных недостатков, в том числе внедрение новых и оптимизация существующих КП проводится владельцем </w:t>
      </w:r>
      <w:r>
        <w:rPr>
          <w:sz w:val="28"/>
          <w:szCs w:val="28"/>
        </w:rPr>
        <w:t xml:space="preserve">процесса</w:t>
      </w:r>
      <w:r>
        <w:rPr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в рамках деятельности по оптимизации и регламентации процессов в порядке, определенном Положением о системе управления процессами.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2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41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«Оценка операционной эффективности КП»: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Инициируется событиями: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план-график МОК на календарный год, содержащий мероприятия по оценке операционной эффективности КП; 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 план КМ на календарный год, содержащий мероприятия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оценке операционной эффективности КП;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</w:pPr>
      <w:r>
        <w:rPr>
          <w:rFonts w:ascii="Times New Roman" w:hAnsi="Times New Roman"/>
          <w:sz w:val="28"/>
          <w:szCs w:val="28"/>
        </w:rPr>
        <w:t xml:space="preserve">руководством инициировано проведение внеплановой оценки операционной эффективности КП;</w:t>
      </w:r>
      <w:r/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</w:pPr>
      <w:r>
        <w:rPr>
          <w:rFonts w:ascii="Times New Roman" w:hAnsi="Times New Roman"/>
          <w:sz w:val="28"/>
          <w:szCs w:val="28"/>
        </w:rPr>
        <w:t xml:space="preserve">владельцу процесса (а также иным заинтересованным лицам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по решению директора по внутреннему контролю и управлению рисками – главного аудитора) представлен отчет по результатам самооценки внутреннего контроля бизнес-процесса, содержащий оценку эффективности дизайна КП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 организации внутреннего контроля бизнес-процесса в целом.</w:t>
      </w:r>
      <w:r/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Результат</w:t>
      </w:r>
      <w:r>
        <w:rPr>
          <w:rFonts w:eastAsia="Calibri"/>
          <w:color w:val="000000"/>
          <w:sz w:val="28"/>
          <w:szCs w:val="28"/>
        </w:rPr>
        <w:t xml:space="preserve">ы</w:t>
      </w:r>
      <w:r>
        <w:rPr>
          <w:rFonts w:eastAsia="Calibri"/>
          <w:color w:val="000000"/>
          <w:sz w:val="28"/>
          <w:szCs w:val="28"/>
        </w:rPr>
        <w:t xml:space="preserve"> процедуры</w:t>
      </w:r>
      <w:r>
        <w:rPr>
          <w:rFonts w:eastAsia="Calibri"/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заинтересованным лицам в с</w:t>
      </w:r>
      <w:r>
        <w:rPr>
          <w:rFonts w:ascii="Times New Roman" w:hAnsi="Times New Roman"/>
          <w:sz w:val="28"/>
          <w:szCs w:val="28"/>
        </w:rPr>
        <w:t xml:space="preserve">оответствии с установленным порядком представлен отчет по результатам МОК или КМ, содержащий оценку достаточности и операционной эффективности (результаты тестирования практики выполнения) КП и рекомендации по устранению выявленных нарушений и недостатков;</w:t>
      </w:r>
      <w:r>
        <w:rPr>
          <w:rFonts w:ascii="Times New Roman" w:hAnsi="Times New Roman"/>
          <w:sz w:val="28"/>
          <w:szCs w:val="28"/>
        </w:rPr>
      </w:r>
    </w:p>
    <w:p>
      <w:pPr>
        <w:pStyle w:val="1384"/>
        <w:numPr>
          <w:ilvl w:val="0"/>
          <w:numId w:val="11"/>
        </w:numPr>
        <w:contextualSpacing w:val="0"/>
        <w:ind w:left="567" w:right="-141" w:firstLine="567"/>
        <w:jc w:val="both"/>
        <w:spacing w:before="120" w:after="120" w:line="240" w:lineRule="auto"/>
        <w:tabs>
          <w:tab w:val="left" w:pos="1418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предложения по изменению подходов к организации внутреннего контроля и оптимизации бизнес-процессов.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является формой периодической оценки эффективности фактического выполнения КП со стороны Блока внутреннего контроля и управления рисками (ДКиУР или ДВА).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Целью процедуры является подтверждение фактического выполнения КП в соответствии с описанным дизайном в течение всего проверяемого периода, а также достижения целей контроля и целевых результатов </w:t>
      </w:r>
      <w:r>
        <w:rPr>
          <w:rFonts w:eastAsia="Calibri"/>
          <w:sz w:val="28"/>
          <w:szCs w:val="28"/>
        </w:rPr>
        <w:t xml:space="preserve">б</w:t>
      </w:r>
      <w:r>
        <w:rPr>
          <w:rFonts w:eastAsia="Calibri"/>
          <w:sz w:val="28"/>
          <w:szCs w:val="28"/>
        </w:rPr>
        <w:t xml:space="preserve">изнес-процесса.</w:t>
      </w:r>
      <w:r>
        <w:rPr>
          <w:rFonts w:eastAsia="Calibri"/>
          <w:sz w:val="28"/>
          <w:szCs w:val="28"/>
        </w:rPr>
      </w:r>
    </w:p>
    <w:p>
      <w:pPr>
        <w:pStyle w:val="1128"/>
        <w:numPr>
          <w:ilvl w:val="3"/>
          <w:numId w:val="7"/>
        </w:numPr>
        <w:ind w:left="567" w:right="-141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Процедура осуществляется и документируется ДВА и ДКиУР</w:t>
      </w:r>
      <w:r>
        <w:rPr>
          <w:rFonts w:eastAsia="Calibri"/>
          <w:sz w:val="28"/>
          <w:szCs w:val="28"/>
        </w:rPr>
        <w:br w:type="textWrapping" w:clear="all"/>
      </w:r>
      <w:r>
        <w:rPr>
          <w:rFonts w:eastAsia="Calibri"/>
          <w:sz w:val="28"/>
          <w:szCs w:val="28"/>
        </w:rPr>
        <w:t xml:space="preserve">в рамках КМ и МОК в порядке, установленном соответствующими ЛНД (А)</w:t>
      </w:r>
      <w:r>
        <w:rPr>
          <w:rStyle w:val="1311"/>
          <w:rFonts w:ascii="Symbol" w:hAnsi="Symbol" w:eastAsia="Calibri" w:cs="Symbol"/>
          <w:sz w:val="28"/>
          <w:szCs w:val="28"/>
        </w:rPr>
        <w:footnoteReference w:id="13"/>
      </w:r>
      <w:r>
        <w:rPr>
          <w:rFonts w:eastAsia="Calibri"/>
          <w:sz w:val="28"/>
          <w:szCs w:val="28"/>
        </w:rPr>
        <w:t xml:space="preserve"> Общества.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ind w:left="567" w:firstLine="567"/>
        <w:jc w:val="both"/>
        <w:spacing w:before="120" w:after="120"/>
        <w:tabs>
          <w:tab w:val="left" w:pos="0" w:leader="none"/>
          <w:tab w:val="left" w:pos="1560" w:leader="none"/>
        </w:tabs>
        <w:rPr>
          <w:color w:val="000000"/>
        </w:rPr>
        <w:sectPr>
          <w:footerReference w:type="default" r:id="rId9"/>
          <w:footerReference w:type="first" r:id="rId10"/>
          <w:footnotePr/>
          <w:endnotePr/>
          <w:type w:val="nextPage"/>
          <w:pgSz w:w="11906" w:h="16838" w:orient="portrait"/>
          <w:pgMar w:top="993" w:right="707" w:bottom="765" w:left="1134" w:header="720" w:footer="567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  <w:t xml:space="preserve"> </w:t>
      </w:r>
      <w:r>
        <w:rPr>
          <w:color w:val="000000"/>
        </w:rPr>
      </w:r>
      <w:r>
        <w:rPr>
          <w:color w:val="000000"/>
        </w:rPr>
      </w:r>
    </w:p>
    <w:p>
      <w:pPr>
        <w:pStyle w:val="1129"/>
        <w:jc w:val="right"/>
        <w:spacing w:before="0" w:after="0"/>
        <w:rPr>
          <w:color w:val="000000"/>
        </w:rPr>
      </w:pPr>
      <w:r/>
      <w:bookmarkStart w:id="26" w:name="_Приложение_1.1."/>
      <w:r/>
      <w:bookmarkEnd w:id="26"/>
      <w:r/>
      <w:bookmarkStart w:id="27" w:name="_Приложение_2"/>
      <w:r/>
      <w:bookmarkEnd w:id="27"/>
      <w:r/>
      <w:bookmarkStart w:id="28" w:name="_Приложение_1"/>
      <w:r/>
      <w:bookmarkEnd w:id="28"/>
      <w:r/>
      <w:bookmarkStart w:id="29" w:name="_Toc223079247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ПРИЛОЖЕНИЕ 1</w:t>
      </w:r>
      <w:bookmarkEnd w:id="29"/>
      <w:r>
        <w:rPr>
          <w:color w:val="000000"/>
        </w:rPr>
      </w:r>
      <w:r>
        <w:rPr>
          <w:color w:val="000000"/>
        </w:rPr>
      </w:r>
    </w:p>
    <w:p>
      <w:pPr>
        <w:pStyle w:val="1390"/>
        <w:contextualSpacing w:val="0"/>
        <w:ind w:left="644"/>
        <w:jc w:val="right"/>
        <w:spacing w:after="0" w:line="240" w:lineRule="auto"/>
        <w:rPr>
          <w:caps/>
          <w:color w:val="000000"/>
          <w:sz w:val="28"/>
          <w:szCs w:val="28"/>
          <w:lang w:eastAsia="ru-RU"/>
        </w:rPr>
      </w:pPr>
      <w:r>
        <w:rPr>
          <w:color w:val="000000"/>
        </w:rPr>
        <w:t xml:space="preserve">к Положению об управлении системой внутреннего контроля и управления рисками и внутренним контролем бизнес-процессов</w:t>
      </w:r>
      <w:r>
        <w:rPr>
          <w:caps/>
          <w:color w:val="000000"/>
          <w:sz w:val="28"/>
          <w:szCs w:val="28"/>
          <w:lang w:eastAsia="ru-RU"/>
        </w:rPr>
      </w:r>
      <w:r>
        <w:rPr>
          <w:caps/>
          <w:color w:val="000000"/>
          <w:sz w:val="28"/>
          <w:szCs w:val="28"/>
          <w:lang w:eastAsia="ru-RU"/>
        </w:rPr>
      </w:r>
    </w:p>
    <w:p>
      <w:pPr>
        <w:pStyle w:val="1390"/>
        <w:ind w:left="644"/>
        <w:jc w:val="center"/>
        <w:spacing w:line="240" w:lineRule="auto"/>
        <w:rPr>
          <w:caps/>
          <w:color w:val="000000"/>
          <w:sz w:val="28"/>
          <w:szCs w:val="28"/>
          <w:lang w:eastAsia="ru-RU"/>
        </w:rPr>
      </w:pPr>
      <w:r>
        <w:rPr>
          <w:caps/>
          <w:color w:val="000000"/>
          <w:sz w:val="28"/>
          <w:szCs w:val="28"/>
          <w:lang w:eastAsia="ru-RU"/>
        </w:rPr>
      </w:r>
      <w:r>
        <w:rPr>
          <w:caps/>
          <w:color w:val="000000"/>
          <w:sz w:val="28"/>
          <w:szCs w:val="28"/>
          <w:lang w:eastAsia="ru-RU"/>
        </w:rPr>
      </w:r>
    </w:p>
    <w:p>
      <w:pPr>
        <w:pStyle w:val="1390"/>
        <w:ind w:left="644"/>
        <w:jc w:val="center"/>
        <w:spacing w:line="240" w:lineRule="auto"/>
      </w:pPr>
      <w:r>
        <w:rPr>
          <w:caps/>
          <w:sz w:val="28"/>
          <w:szCs w:val="28"/>
          <w:lang w:eastAsia="ru-RU"/>
        </w:rPr>
        <w:t xml:space="preserve">СХЕМА ВЗАИМОДЕЙСТВИЯ УчастникОВ СВКиУР </w:t>
      </w:r>
      <w:r/>
    </w:p>
    <w:p>
      <w:pPr>
        <w:pStyle w:val="1384"/>
        <w:contextualSpacing w:val="0"/>
        <w:ind w:left="0"/>
        <w:jc w:val="both"/>
        <w:keepNext/>
        <w:spacing w:before="120" w:after="120" w:line="240" w:lineRule="auto"/>
        <w:widowControl w:val="o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00527" cy="6851231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rcRect l="-19" t="-26" r="-19" b="-25"/>
                        <a:stretch/>
                      </pic:blipFill>
                      <pic:spPr bwMode="auto">
                        <a:xfrm>
                          <a:off x="0" y="0"/>
                          <a:ext cx="9400527" cy="6851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40.20pt;height:539.47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384"/>
        <w:contextualSpacing w:val="0"/>
        <w:ind w:left="567"/>
        <w:jc w:val="both"/>
        <w:keepNext/>
        <w:spacing w:before="120" w:after="120" w:line="240" w:lineRule="auto"/>
        <w:widowControl w:val="off"/>
        <w:rPr>
          <w:rFonts w:ascii="Times New Roman" w:hAnsi="Times New Roman"/>
          <w:color w:val="000000"/>
          <w:sz w:val="28"/>
          <w:szCs w:val="28"/>
        </w:rPr>
        <w:sectPr>
          <w:footerReference w:type="default" r:id="rId11"/>
          <w:footerReference w:type="even" r:id="rId12"/>
          <w:footerReference w:type="first" r:id="rId13"/>
          <w:footnotePr/>
          <w:endnotePr/>
          <w:type w:val="nextPage"/>
          <w:pgSz w:w="16838" w:h="23811" w:orient="portrait"/>
          <w:pgMar w:top="992" w:right="765" w:bottom="709" w:left="1134" w:header="720" w:footer="709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129"/>
        <w:jc w:val="right"/>
        <w:spacing w:before="0" w:after="0"/>
      </w:pPr>
      <w:r/>
      <w:bookmarkStart w:id="30" w:name="_ПРИЛОЖЕНИЕ_2.1"/>
      <w:r/>
      <w:bookmarkEnd w:id="30"/>
      <w:r/>
      <w:bookmarkStart w:id="31" w:name="_Toc223079248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ПРИЛОЖЕНИЕ 2</w:t>
      </w:r>
      <w:bookmarkEnd w:id="31"/>
      <w:r/>
      <w:r/>
    </w:p>
    <w:p>
      <w:pPr>
        <w:pStyle w:val="1390"/>
        <w:contextualSpacing w:val="0"/>
        <w:ind w:left="644"/>
        <w:jc w:val="right"/>
        <w:spacing w:after="0" w:line="240" w:lineRule="auto"/>
        <w:rPr>
          <w:caps/>
          <w:color w:val="000000"/>
          <w:sz w:val="28"/>
          <w:szCs w:val="28"/>
        </w:rPr>
      </w:pPr>
      <w:r>
        <w:rPr>
          <w:color w:val="000000"/>
        </w:rPr>
        <w:t xml:space="preserve">к Положению об управлении системой внутреннего контроля и управления рисками и внутренним контролем бизнес-процессов</w:t>
      </w:r>
      <w:r>
        <w:rPr>
          <w:caps/>
          <w:color w:val="000000"/>
          <w:sz w:val="28"/>
          <w:szCs w:val="28"/>
        </w:rPr>
      </w:r>
      <w:r>
        <w:rPr>
          <w:caps/>
          <w:color w:val="000000"/>
          <w:sz w:val="28"/>
          <w:szCs w:val="28"/>
        </w:rPr>
      </w:r>
    </w:p>
    <w:p>
      <w:pPr>
        <w:pStyle w:val="1390"/>
        <w:ind w:left="644"/>
        <w:spacing w:line="240" w:lineRule="auto"/>
        <w:rPr>
          <w:caps/>
          <w:color w:val="000000"/>
          <w:sz w:val="28"/>
          <w:szCs w:val="28"/>
        </w:rPr>
      </w:pPr>
      <w:r>
        <w:rPr>
          <w:caps/>
          <w:color w:val="000000"/>
          <w:sz w:val="28"/>
          <w:szCs w:val="28"/>
        </w:rPr>
      </w:r>
      <w:r>
        <w:rPr>
          <w:caps/>
          <w:color w:val="000000"/>
          <w:sz w:val="28"/>
          <w:szCs w:val="28"/>
        </w:rPr>
      </w:r>
    </w:p>
    <w:p>
      <w:pPr>
        <w:pStyle w:val="1128"/>
        <w:ind w:firstLine="709"/>
        <w:jc w:val="center"/>
      </w:pPr>
      <w:r>
        <w:rPr>
          <w:caps/>
          <w:sz w:val="28"/>
          <w:szCs w:val="28"/>
          <w:lang w:eastAsia="ru-RU"/>
        </w:rPr>
        <w:t xml:space="preserve">Модели (2-го и 3-го уровней декомпозиции) сценария «Управление системой внутреннего контроля и управления рисками» </w:t>
      </w:r>
      <w:r/>
    </w:p>
    <w:p>
      <w:pPr>
        <w:pStyle w:val="1128"/>
        <w:ind w:firstLine="709"/>
        <w:jc w:val="center"/>
        <w:rPr>
          <w:caps/>
          <w:sz w:val="28"/>
          <w:szCs w:val="28"/>
          <w:lang w:eastAsia="ru-RU"/>
        </w:rPr>
      </w:pPr>
      <w:r>
        <w:rPr>
          <w:caps/>
          <w:sz w:val="28"/>
          <w:szCs w:val="28"/>
          <w:lang w:eastAsia="ru-RU"/>
        </w:rPr>
      </w:r>
      <w:r>
        <w:rPr>
          <w:caps/>
          <w:sz w:val="28"/>
          <w:szCs w:val="28"/>
          <w:lang w:eastAsia="ru-RU"/>
        </w:rPr>
      </w:r>
    </w:p>
    <w:p>
      <w:pPr>
        <w:pStyle w:val="1128"/>
        <w:numPr>
          <w:ilvl w:val="0"/>
          <w:numId w:val="9"/>
        </w:numPr>
      </w:pPr>
      <w:r>
        <w:rPr>
          <w:sz w:val="28"/>
          <w:szCs w:val="28"/>
        </w:rPr>
        <w:t xml:space="preserve">Мо</w:t>
      </w:r>
      <w:r>
        <w:rPr>
          <w:sz w:val="28"/>
          <w:szCs w:val="28"/>
        </w:rPr>
        <w:t xml:space="preserve">дель 2-го уровня декомпозиции с</w:t>
      </w:r>
      <w:r>
        <w:rPr>
          <w:sz w:val="28"/>
          <w:szCs w:val="28"/>
        </w:rPr>
        <w:t xml:space="preserve">ценария «Управление системой внутреннего контроля и управления рисками» (логика Этапов)</w:t>
      </w:r>
      <w:r/>
    </w:p>
    <w:p>
      <w:pPr>
        <w:pStyle w:val="1128"/>
        <w:rPr>
          <w:rFonts w:eastAsia="Calibri"/>
          <w:sz w:val="28"/>
          <w:szCs w:val="28"/>
          <w:lang w:eastAsia="en-US"/>
        </w:rPr>
        <w:sectPr>
          <w:footnotePr/>
          <w:endnotePr/>
          <w:type w:val="nextPage"/>
          <w:pgSz w:w="23811" w:h="16838" w:orient="landscape"/>
          <w:pgMar w:top="1134" w:right="992" w:bottom="765" w:left="709" w:header="720" w:footer="709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862304" cy="6198781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3862304" cy="6198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91.52pt;height:488.09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numPr>
          <w:ilvl w:val="0"/>
          <w:numId w:val="9"/>
        </w:numPr>
        <w:ind w:left="709" w:hanging="643"/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</w:t>
      </w:r>
      <w:r>
        <w:rPr>
          <w:rFonts w:eastAsia="Calibri"/>
          <w:sz w:val="28"/>
          <w:szCs w:val="28"/>
          <w:lang w:eastAsia="en-US"/>
        </w:rPr>
        <w:t xml:space="preserve">одель 3-го уровня декомпозиции э</w:t>
      </w:r>
      <w:r>
        <w:rPr>
          <w:rFonts w:eastAsia="Calibri"/>
          <w:sz w:val="28"/>
          <w:szCs w:val="28"/>
          <w:lang w:eastAsia="en-US"/>
        </w:rPr>
        <w:t xml:space="preserve">тапа «Планирование задач и мероприятий по управлению и развитию </w:t>
      </w:r>
      <w:r>
        <w:rPr>
          <w:rFonts w:eastAsia="Calibri"/>
          <w:sz w:val="28"/>
          <w:szCs w:val="28"/>
          <w:lang w:eastAsia="en-US"/>
        </w:rPr>
        <w:t xml:space="preserve">СВКиУР»</w:t>
      </w:r>
      <w:r>
        <w:rPr>
          <w:rFonts w:eastAsia="Calibri"/>
          <w:sz w:val="28"/>
          <w:szCs w:val="28"/>
          <w:lang w:eastAsia="en-US"/>
        </w:rPr>
        <w:br w:type="textWrapping" w:clear="all"/>
      </w:r>
      <w:r>
        <w:rPr>
          <w:rFonts w:eastAsia="Calibri"/>
          <w:sz w:val="28"/>
          <w:szCs w:val="28"/>
          <w:lang w:eastAsia="en-US"/>
        </w:rPr>
        <w:t xml:space="preserve">в границах с</w:t>
      </w:r>
      <w:r>
        <w:rPr>
          <w:rFonts w:eastAsia="Calibri"/>
          <w:sz w:val="28"/>
          <w:szCs w:val="28"/>
          <w:lang w:eastAsia="en-US"/>
        </w:rPr>
        <w:t xml:space="preserve">ценария «Управление </w:t>
      </w:r>
      <w:r>
        <w:rPr>
          <w:rFonts w:eastAsia="Calibri"/>
          <w:sz w:val="28"/>
          <w:szCs w:val="28"/>
          <w:lang w:eastAsia="en-US"/>
        </w:rPr>
        <w:t xml:space="preserve">СВКиУР</w:t>
      </w:r>
      <w:r>
        <w:rPr>
          <w:rFonts w:eastAsia="Calibri"/>
          <w:sz w:val="28"/>
          <w:szCs w:val="28"/>
          <w:lang w:eastAsia="en-US"/>
        </w:rPr>
        <w:t xml:space="preserve">» (логика Процедур)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ind w:left="426"/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ind w:left="426"/>
        <w:spacing w:line="240" w:lineRule="auto"/>
        <w:rPr>
          <w:rFonts w:ascii="Calibri" w:hAnsi="Calibri" w:eastAsia="Calibri" w:cs="Calibri"/>
          <w:sz w:val="28"/>
          <w:szCs w:val="28"/>
          <w:lang w:eastAsia="en-US"/>
        </w:rPr>
        <w:sectPr>
          <w:footerReference w:type="default" r:id="rId14"/>
          <w:footerReference w:type="even" r:id="rId15"/>
          <w:footerReference w:type="first" r:id="rId16"/>
          <w:footnotePr/>
          <w:endnotePr/>
          <w:type w:val="nextPage"/>
          <w:pgSz w:w="16838" w:h="23811" w:orient="portrait"/>
          <w:pgMar w:top="849" w:right="765" w:bottom="1134" w:left="720" w:header="720" w:footer="708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01302" cy="8585429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9401302" cy="8585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40.26pt;height:676.02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Calibri" w:hAnsi="Calibri" w:eastAsia="Calibri" w:cs="Calibri"/>
          <w:sz w:val="28"/>
          <w:szCs w:val="28"/>
          <w:lang w:eastAsia="en-US"/>
        </w:rPr>
      </w:r>
      <w:r>
        <w:rPr>
          <w:rFonts w:ascii="Calibri" w:hAnsi="Calibri" w:eastAsia="Calibri" w:cs="Calibri"/>
          <w:sz w:val="28"/>
          <w:szCs w:val="28"/>
          <w:lang w:eastAsia="en-US"/>
        </w:rPr>
      </w:r>
    </w:p>
    <w:p>
      <w:pPr>
        <w:pStyle w:val="1128"/>
        <w:rPr>
          <w:rFonts w:ascii="Calibri" w:hAnsi="Calibri" w:eastAsia="Calibri" w:cs="Calibri"/>
          <w:sz w:val="28"/>
          <w:szCs w:val="28"/>
          <w:lang w:eastAsia="en-US"/>
        </w:rPr>
      </w:pPr>
      <w:r>
        <w:rPr>
          <w:rFonts w:ascii="Calibri" w:hAnsi="Calibri" w:eastAsia="Calibri" w:cs="Calibri"/>
          <w:sz w:val="28"/>
          <w:szCs w:val="28"/>
          <w:lang w:eastAsia="en-US"/>
        </w:rPr>
      </w:r>
      <w:r>
        <w:rPr>
          <w:rFonts w:ascii="Calibri" w:hAnsi="Calibri" w:eastAsia="Calibri" w:cs="Calibri"/>
          <w:sz w:val="28"/>
          <w:szCs w:val="28"/>
          <w:lang w:eastAsia="en-US"/>
        </w:rPr>
      </w:r>
    </w:p>
    <w:p>
      <w:pPr>
        <w:pStyle w:val="1128"/>
        <w:numPr>
          <w:ilvl w:val="0"/>
          <w:numId w:val="9"/>
        </w:numPr>
        <w:jc w:val="both"/>
      </w:pPr>
      <w:r>
        <w:rPr>
          <w:rFonts w:eastAsia="Calibri"/>
          <w:sz w:val="28"/>
          <w:szCs w:val="28"/>
          <w:lang w:eastAsia="en-US"/>
        </w:rPr>
        <w:t xml:space="preserve">М</w:t>
      </w:r>
      <w:r>
        <w:rPr>
          <w:rFonts w:eastAsia="Calibri"/>
          <w:sz w:val="28"/>
          <w:szCs w:val="28"/>
          <w:lang w:eastAsia="en-US"/>
        </w:rPr>
        <w:t xml:space="preserve">одель 3-го уровня декомпозиции э</w:t>
      </w:r>
      <w:r>
        <w:rPr>
          <w:rFonts w:eastAsia="Calibri"/>
          <w:sz w:val="28"/>
          <w:szCs w:val="28"/>
          <w:lang w:eastAsia="en-US"/>
        </w:rPr>
        <w:t xml:space="preserve">тапа «Мониторинг и оценка состояния системы внутреннего контроля</w:t>
      </w:r>
      <w:r>
        <w:rPr>
          <w:rFonts w:eastAsia="Calibri"/>
          <w:sz w:val="28"/>
          <w:szCs w:val="28"/>
          <w:lang w:eastAsia="en-US"/>
        </w:rPr>
        <w:br w:type="textWrapping" w:clear="all"/>
      </w:r>
      <w:r>
        <w:rPr>
          <w:rFonts w:eastAsia="Calibri"/>
          <w:sz w:val="28"/>
          <w:szCs w:val="28"/>
          <w:lang w:eastAsia="en-US"/>
        </w:rPr>
        <w:t xml:space="preserve">и </w:t>
      </w:r>
      <w:r>
        <w:rPr>
          <w:rFonts w:eastAsia="Calibri"/>
          <w:sz w:val="28"/>
          <w:szCs w:val="28"/>
          <w:lang w:eastAsia="en-US"/>
        </w:rPr>
        <w:t xml:space="preserve">управления рисками» в границах с</w:t>
      </w:r>
      <w:r>
        <w:rPr>
          <w:rFonts w:eastAsia="Calibri"/>
          <w:sz w:val="28"/>
          <w:szCs w:val="28"/>
          <w:lang w:eastAsia="en-US"/>
        </w:rPr>
        <w:t xml:space="preserve">ценария «Управление </w:t>
      </w:r>
      <w:r>
        <w:rPr>
          <w:rFonts w:eastAsia="Calibri"/>
          <w:sz w:val="28"/>
          <w:szCs w:val="28"/>
          <w:lang w:eastAsia="en-US"/>
        </w:rPr>
        <w:t xml:space="preserve">СВКиУР</w:t>
      </w:r>
      <w:r>
        <w:rPr>
          <w:rFonts w:eastAsia="Calibri"/>
          <w:sz w:val="28"/>
          <w:szCs w:val="28"/>
          <w:lang w:eastAsia="en-US"/>
        </w:rPr>
        <w:t xml:space="preserve">» (логика Процедур)</w:t>
      </w:r>
      <w:r/>
    </w:p>
    <w:p>
      <w:pPr>
        <w:pStyle w:val="1128"/>
        <w:ind w:left="360"/>
        <w:jc w:val="both"/>
        <w:rPr>
          <w:color w:val="000000"/>
          <w:szCs w:val="28"/>
        </w:rPr>
        <w:sectPr>
          <w:footerReference w:type="default" r:id="rId17"/>
          <w:footerReference w:type="even" r:id="rId18"/>
          <w:footerReference w:type="first" r:id="rId19"/>
          <w:footnotePr/>
          <w:endnotePr/>
          <w:type w:val="nextPage"/>
          <w:pgSz w:w="16838" w:h="23811" w:orient="portrait"/>
          <w:pgMar w:top="992" w:right="765" w:bottom="765" w:left="1134" w:header="720" w:footer="709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143022" cy="7816279"/>
                <wp:effectExtent l="0" t="0" r="0" b="0"/>
                <wp:docPr id="4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rcRect l="-10" t="-13" r="-10" b="-13"/>
                        <a:stretch/>
                      </pic:blipFill>
                      <pic:spPr bwMode="auto">
                        <a:xfrm>
                          <a:off x="0" y="0"/>
                          <a:ext cx="9143022" cy="781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19.92pt;height:615.46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129"/>
        <w:jc w:val="right"/>
        <w:spacing w:before="0" w:after="0"/>
        <w:rPr>
          <w:color w:val="000000"/>
          <w:szCs w:val="28"/>
        </w:rPr>
      </w:pPr>
      <w:r>
        <w:rPr>
          <w:rFonts w:ascii="Times New Roman" w:hAnsi="Times New Roman" w:cs="Times New Roman"/>
          <w:b w:val="0"/>
          <w:color w:val="000000"/>
          <w:szCs w:val="28"/>
        </w:rPr>
        <w:t xml:space="preserve">ПРИЛОЖЕНИЕ</w:t>
      </w:r>
      <w:r>
        <w:rPr>
          <w:rFonts w:ascii="Times New Roman" w:hAnsi="Times New Roman" w:cs="Times New Roman"/>
          <w:b w:val="0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Cs w:val="28"/>
        </w:rPr>
        <w:t xml:space="preserve">3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390"/>
        <w:ind w:left="644"/>
        <w:jc w:val="right"/>
        <w:spacing w:after="0" w:line="240" w:lineRule="auto"/>
        <w:rPr>
          <w:cap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Положению об управлении системой внутреннего контроля и управления рисками и внутренним контролем бизнес-процессов</w:t>
      </w:r>
      <w:r>
        <w:rPr>
          <w:caps/>
          <w:color w:val="000000"/>
          <w:sz w:val="28"/>
          <w:szCs w:val="28"/>
        </w:rPr>
      </w:r>
      <w:r>
        <w:rPr>
          <w:caps/>
          <w:color w:val="000000"/>
          <w:sz w:val="28"/>
          <w:szCs w:val="28"/>
        </w:rPr>
      </w:r>
    </w:p>
    <w:p>
      <w:pPr>
        <w:pStyle w:val="1390"/>
        <w:ind w:left="644"/>
        <w:jc w:val="right"/>
        <w:spacing w:after="0"/>
        <w:rPr>
          <w:caps/>
          <w:color w:val="000000"/>
          <w:sz w:val="28"/>
          <w:szCs w:val="28"/>
        </w:rPr>
      </w:pPr>
      <w:r>
        <w:rPr>
          <w:caps/>
          <w:color w:val="000000"/>
          <w:sz w:val="28"/>
          <w:szCs w:val="28"/>
        </w:rPr>
      </w:r>
      <w:r>
        <w:rPr>
          <w:caps/>
          <w:color w:val="000000"/>
          <w:sz w:val="28"/>
          <w:szCs w:val="28"/>
        </w:rPr>
      </w:r>
    </w:p>
    <w:p>
      <w:pPr>
        <w:pStyle w:val="1390"/>
        <w:ind w:left="644"/>
        <w:rPr>
          <w:caps/>
          <w:color w:val="000000"/>
          <w:sz w:val="28"/>
          <w:szCs w:val="28"/>
        </w:rPr>
      </w:pPr>
      <w:r>
        <w:rPr>
          <w:caps/>
          <w:color w:val="000000"/>
          <w:sz w:val="28"/>
          <w:szCs w:val="28"/>
        </w:rPr>
      </w:r>
      <w:r>
        <w:rPr>
          <w:caps/>
          <w:color w:val="000000"/>
          <w:sz w:val="28"/>
          <w:szCs w:val="28"/>
        </w:rPr>
      </w:r>
    </w:p>
    <w:p>
      <w:pPr>
        <w:pStyle w:val="1128"/>
        <w:ind w:firstLine="709"/>
        <w:jc w:val="center"/>
        <w:rPr>
          <w:caps/>
          <w:sz w:val="28"/>
          <w:szCs w:val="28"/>
          <w:lang w:eastAsia="ru-RU"/>
        </w:rPr>
      </w:pPr>
      <w:r>
        <w:rPr>
          <w:b/>
          <w:color w:val="000000"/>
          <w:szCs w:val="28"/>
        </w:rPr>
        <w:t xml:space="preserve">МОДЕЛИ (2-ГО И 3-ГО УРОВНЕЙ ДЕКОМПОЗИЦИИ) СЦЕНАРИЯ «УПРАВЛЕНИЕ ВНУТРЕННИМ КОНТРОЛЕМ БИЗНЕС-ПРОЦЕССОВ» (ЛОГИКА ЭТАПОВ И ПРОЦЕДУР)</w:t>
      </w:r>
      <w:r>
        <w:rPr>
          <w:caps/>
          <w:sz w:val="28"/>
          <w:szCs w:val="28"/>
          <w:lang w:eastAsia="ru-RU"/>
        </w:rPr>
      </w:r>
      <w:r>
        <w:rPr>
          <w:caps/>
          <w:sz w:val="28"/>
          <w:szCs w:val="28"/>
          <w:lang w:eastAsia="ru-RU"/>
        </w:rPr>
      </w:r>
    </w:p>
    <w:p>
      <w:pPr>
        <w:pStyle w:val="1128"/>
        <w:ind w:firstLine="709"/>
        <w:jc w:val="center"/>
        <w:rPr>
          <w:caps/>
          <w:sz w:val="28"/>
          <w:szCs w:val="28"/>
          <w:lang w:eastAsia="ru-RU"/>
        </w:rPr>
      </w:pPr>
      <w:r>
        <w:rPr>
          <w:caps/>
          <w:sz w:val="28"/>
          <w:szCs w:val="28"/>
          <w:lang w:eastAsia="ru-RU"/>
        </w:rPr>
      </w:r>
      <w:r>
        <w:rPr>
          <w:caps/>
          <w:sz w:val="28"/>
          <w:szCs w:val="28"/>
          <w:lang w:eastAsia="ru-RU"/>
        </w:rPr>
      </w:r>
    </w:p>
    <w:p>
      <w:pPr>
        <w:pStyle w:val="1128"/>
        <w:numPr>
          <w:ilvl w:val="1"/>
          <w:numId w:val="9"/>
        </w:numPr>
      </w:pP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одель 2-го уровня декомпозиции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ценария «Управление внутренним контролем бизнес-процессов» (логика Этапов)</w:t>
      </w:r>
      <w:r/>
    </w:p>
    <w:p>
      <w:pPr>
        <w:pStyle w:val="1128"/>
        <w:rPr>
          <w:rFonts w:eastAsia="Calibri"/>
          <w:sz w:val="28"/>
          <w:szCs w:val="28"/>
          <w:lang w:eastAsia="en-US"/>
        </w:rPr>
        <w:sectPr>
          <w:footerReference w:type="default" r:id="rId20"/>
          <w:footerReference w:type="even" r:id="rId21"/>
          <w:footerReference w:type="first" r:id="rId22"/>
          <w:footnotePr/>
          <w:endnotePr/>
          <w:type w:val="nextPage"/>
          <w:pgSz w:w="23811" w:h="16838" w:orient="landscape"/>
          <w:pgMar w:top="1134" w:right="992" w:bottom="765" w:left="709" w:header="720" w:footer="709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853922" cy="5721718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3853922" cy="572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090.86pt;height:450.53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numPr>
          <w:ilvl w:val="1"/>
          <w:numId w:val="9"/>
        </w:numPr>
      </w:pPr>
      <w:r>
        <w:rPr>
          <w:rFonts w:eastAsia="Calibri"/>
          <w:sz w:val="28"/>
          <w:szCs w:val="28"/>
          <w:lang w:eastAsia="en-US"/>
        </w:rPr>
        <w:t xml:space="preserve">Модель 3-го уровня декомпозиции Этапа «Выбор и формализация </w:t>
      </w:r>
      <w:r>
        <w:rPr>
          <w:rFonts w:eastAsia="Calibri"/>
          <w:sz w:val="28"/>
          <w:szCs w:val="28"/>
          <w:lang w:eastAsia="en-US"/>
        </w:rPr>
        <w:t xml:space="preserve">контрольных процедур</w:t>
      </w:r>
      <w:r>
        <w:rPr>
          <w:rFonts w:eastAsia="Calibri"/>
          <w:sz w:val="28"/>
          <w:szCs w:val="28"/>
          <w:lang w:eastAsia="en-US"/>
        </w:rPr>
        <w:t xml:space="preserve">» в границах Сценария «Управление внутренним контролем бизнес-процессов» (логика Процедур)</w:t>
      </w:r>
      <w:r/>
    </w:p>
    <w:p>
      <w:pPr>
        <w:pStyle w:val="1390"/>
        <w:ind w:left="426"/>
      </w:pPr>
      <w:r/>
      <w:r/>
    </w:p>
    <w:p>
      <w:pPr>
        <w:pStyle w:val="1128"/>
        <w:rPr>
          <w:rFonts w:eastAsia="Calibri"/>
          <w:sz w:val="28"/>
          <w:szCs w:val="28"/>
          <w:lang w:eastAsia="en-US"/>
        </w:rPr>
        <w:sectPr>
          <w:footerReference w:type="default" r:id="rId23"/>
          <w:footerReference w:type="even" r:id="rId24"/>
          <w:footerReference w:type="first" r:id="rId25"/>
          <w:footnotePr/>
          <w:endnotePr/>
          <w:type w:val="nextPage"/>
          <w:pgSz w:w="23811" w:h="16838" w:orient="landscape"/>
          <w:pgMar w:top="720" w:right="849" w:bottom="765" w:left="1134" w:header="720" w:footer="708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665676" cy="8389099"/>
                <wp:effectExtent l="0" t="0" r="0" b="0"/>
                <wp:docPr id="6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0665676" cy="8389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839.82pt;height:660.56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numPr>
          <w:ilvl w:val="1"/>
          <w:numId w:val="9"/>
        </w:num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Модель 3-го уровня декомпозиции Этапа «Мониторинг внутреннего контроля бизнес-процессов» в границах Сценария «Управление внутренним контролем бизнес-процессов» 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390"/>
        <w:ind w:left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rPr>
          <w:color w:val="000000"/>
        </w:rPr>
        <w:sectPr>
          <w:footerReference w:type="default" r:id="rId26"/>
          <w:footerReference w:type="even" r:id="rId27"/>
          <w:footerReference w:type="first" r:id="rId28"/>
          <w:footnotePr/>
          <w:endnotePr/>
          <w:type w:val="nextPage"/>
          <w:pgSz w:w="23811" w:h="16838" w:orient="landscape"/>
          <w:pgMar w:top="720" w:right="849" w:bottom="765" w:left="1134" w:header="720" w:footer="708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604233" cy="8387715"/>
                <wp:effectExtent l="0" t="0" r="0" b="0"/>
                <wp:docPr id="7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0604233" cy="838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834.98pt;height:660.45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</w:p>
    <w:p>
      <w:pPr>
        <w:pStyle w:val="1129"/>
        <w:jc w:val="right"/>
        <w:spacing w:before="0" w:after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ПРИЛОЖЕНИЕ 4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pStyle w:val="1390"/>
        <w:contextualSpacing w:val="0"/>
        <w:ind w:left="644"/>
        <w:jc w:val="right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</w:rPr>
        <w:t xml:space="preserve">к Положению об управлении системой внутреннего контроля и управления рисками</w:t>
      </w:r>
      <w:r>
        <w:rPr>
          <w:color w:val="000000"/>
        </w:rPr>
        <w:br w:type="textWrapping" w:clear="all"/>
      </w:r>
      <w:r>
        <w:rPr>
          <w:color w:val="000000"/>
        </w:rPr>
        <w:t xml:space="preserve">и внутренним контролем бизнес-процессов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390"/>
        <w:ind w:left="64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390"/>
        <w:ind w:left="644"/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КЛАССИФИКАЦИЯ </w:t>
      </w:r>
      <w:r>
        <w:rPr>
          <w:color w:val="000000"/>
          <w:sz w:val="28"/>
          <w:szCs w:val="28"/>
        </w:rPr>
        <w:t xml:space="preserve">КОНТРОЛЬНЫХ ПРОЦЕДУР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384"/>
        <w:numPr>
          <w:ilvl w:val="0"/>
          <w:numId w:val="10"/>
        </w:numPr>
        <w:contextualSpacing w:val="0"/>
        <w:jc w:val="both"/>
        <w:keepNext/>
        <w:spacing w:before="120" w:after="240" w:line="240" w:lineRule="auto"/>
        <w:rPr>
          <w:b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видам </w:t>
      </w:r>
      <w:r>
        <w:rPr>
          <w:rFonts w:ascii="Times New Roman" w:hAnsi="Times New Roman"/>
          <w:b/>
          <w:sz w:val="28"/>
          <w:szCs w:val="28"/>
        </w:rPr>
        <w:t xml:space="preserve">КП</w:t>
      </w:r>
      <w:r>
        <w:rPr>
          <w:rStyle w:val="1311"/>
          <w:rFonts w:ascii="Times New Roman" w:hAnsi="Times New Roman"/>
          <w:b/>
          <w:sz w:val="28"/>
          <w:szCs w:val="28"/>
        </w:rPr>
        <w:footnoteReference w:id="14"/>
      </w:r>
      <w:r>
        <w:t xml:space="preserve">: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5000" w:type="pct"/>
        <w:jc w:val="center"/>
        <w:tblInd w:w="0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512"/>
        <w:gridCol w:w="7667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Вид</w:t>
            </w:r>
            <w:r>
              <w:rPr>
                <w:rFonts w:cs="Times New Roman"/>
                <w:b/>
                <w:szCs w:val="28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Мониторинг ключевых показателей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after="60"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Анализ соответствия фактических финансовых и нефинансовых показателей деятельности с плановыми для оценки степени достижения поставленных целей, а также выявления тенденций, не характерных для деятельности Общества, ПО.</w:t>
            </w:r>
            <w:r>
              <w:rPr>
                <w:rFonts w:cs="Times New Roman"/>
                <w:szCs w:val="28"/>
              </w:rPr>
            </w:r>
          </w:p>
          <w:p>
            <w:pPr>
              <w:pStyle w:val="1388"/>
              <w:ind w:left="57" w:right="57" w:firstLine="0"/>
              <w:jc w:val="both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Значительные отклонения являются основанием инициирования процедуры дополнительной проверки для выявления ошибок либо анализа необходимости раскрытия причин произошедших отклонений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Утверждение</w:t>
            </w:r>
            <w:r>
              <w:rPr>
                <w:rFonts w:cs="Times New Roman"/>
                <w:szCs w:val="28"/>
                <w:lang w:val="en-US"/>
              </w:rPr>
              <w:t xml:space="preserve"> и </w:t>
            </w:r>
            <w:r>
              <w:rPr>
                <w:rFonts w:cs="Times New Roman"/>
                <w:szCs w:val="28"/>
              </w:rPr>
              <w:t xml:space="preserve">визирование операций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Выдача разрешения на совершение операций при соблюдении требований применимого законодательства и ЛНД (А) Общества и ПО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Согласование документа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Процедура, в ходе которой контролирующий субъект в рамках своей компетенции проводит экспертную оце</w:t>
            </w:r>
            <w:r>
              <w:rPr>
                <w:rFonts w:cs="Times New Roman"/>
                <w:szCs w:val="28"/>
              </w:rPr>
              <w:t xml:space="preserve">нку документа и подтверждает достоверность, своевременность, полноту и непротиворечивость информации, содержащейся в нем, правильность его оформления и соответствие ЛНД (А) Общества и ПО, а также наличие необходимых приложений и сопроводительных документов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keepLines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Аналитический обзор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keepLines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Комплексный анализ данных на предмет соотв</w:t>
            </w:r>
            <w:r>
              <w:rPr>
                <w:rFonts w:cs="Times New Roman"/>
                <w:szCs w:val="28"/>
              </w:rPr>
              <w:t xml:space="preserve">етствия заранее определенным критериям / параметрам (путем сравнения с данными прошлых периодов, сравнение плановых и фактических показателей, рыночными показателям, показателями-аналогами, обзор первичного документа / договора, решений органов управления)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keepLines/>
              <w:keepNext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Сверка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keepLines/>
              <w:keepNext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Проверка целостности и непротиворечивости информации, получе</w:t>
            </w:r>
            <w:r>
              <w:rPr>
                <w:rFonts w:cs="Times New Roman"/>
                <w:szCs w:val="28"/>
              </w:rPr>
              <w:t xml:space="preserve">нной из разных источников, что позволяет на ранних стадиях подготовки выявить возможные ошибки ввода и обработки информации до составления отчетности (статьи финансовой отчетности, ИС / модули, отчеты, сверки с контрагентами / структурными подразделениями)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Наблюдение за соблюдением регламентов раскрытия информации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Выявление отклонений в маршрутах и графиках движения отчетных документов с целью проведения соответствующих корректирующих действий для приведения процесса раскрытия информации в соответствие с установленным порядком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84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Физические способы контроля / обеспечение сохранности активов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81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after="60" w:line="240" w:lineRule="auto"/>
            </w:pPr>
            <w:r>
              <w:rPr>
                <w:rFonts w:cs="Times New Roman"/>
                <w:szCs w:val="28"/>
              </w:rPr>
              <w:t xml:space="preserve">Процедуры, направленные на проверку фактическог</w:t>
            </w:r>
            <w:r>
              <w:rPr>
                <w:rFonts w:cs="Times New Roman"/>
                <w:szCs w:val="28"/>
              </w:rPr>
              <w:t xml:space="preserve">о наличия и физический пересчет активов / обязательств, сверку с данными учета и контроль над несанкционированным доступом к имуществу и активам (инвентаризация, обеспечение охраны активов, закрепление материально ответственных лиц в ЛНД (А) Общества и ПО)</w:t>
            </w:r>
            <w:r/>
          </w:p>
        </w:tc>
      </w:tr>
    </w:tbl>
    <w:p>
      <w:pPr>
        <w:pStyle w:val="1384"/>
        <w:numPr>
          <w:ilvl w:val="0"/>
          <w:numId w:val="10"/>
        </w:numPr>
        <w:contextualSpacing w:val="0"/>
        <w:jc w:val="both"/>
        <w:keepNext/>
        <w:pageBreakBefore/>
        <w:spacing w:before="120" w:after="240" w:line="240" w:lineRule="auto"/>
        <w:rPr>
          <w:b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категориям КП, в зависимости от времени их выполнения: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5000" w:type="pct"/>
        <w:jc w:val="center"/>
        <w:tblInd w:w="0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861"/>
        <w:gridCol w:w="3637"/>
        <w:gridCol w:w="3681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9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Категория</w:t>
            </w:r>
            <w:r>
              <w:rPr>
                <w:rFonts w:cs="Times New Roman"/>
                <w:b/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96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40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Примеры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spacing w:after="60"/>
              <w:widowControl w:val="off"/>
            </w:pPr>
            <w:r>
              <w:rPr>
                <w:szCs w:val="28"/>
              </w:rPr>
              <w:t xml:space="preserve">Превентивные (предупреждающие)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96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применяемые к каждой операции (транзакции, сделке) до или во время ее выполнения для снижения уровня рисков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40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Сопоставление цены закупки с рыночными ценами при составлении плана закупок.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Согласование условий договоров.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Подписание платежных поручений руководителем Общества, ПО или их уполномоченными лицами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keepLines/>
              <w:keepNext/>
              <w:spacing w:after="60"/>
              <w:widowControl w:val="off"/>
            </w:pPr>
            <w:r>
              <w:rPr>
                <w:szCs w:val="28"/>
              </w:rPr>
              <w:t xml:space="preserve">Выявляющие (компенсирующие)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96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keepLines/>
              <w:keepNext/>
              <w:spacing w:after="60"/>
              <w:widowControl w:val="off"/>
            </w:pPr>
            <w:r>
              <w:rPr>
                <w:szCs w:val="28"/>
              </w:rPr>
              <w:t xml:space="preserve">КП, применяемые за пределами обычной обработки информации к уже проведенным операциям (транзакциям, сделкам) для выявления рисков, которые могли реализоваться. Обычно применяются, если  превентивные КП неэффективные и недостаточные для снижения рисков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40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keepLines/>
              <w:keepNext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Сопоставление документов по полученной партии товара.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keepLines/>
              <w:keepNext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Сверка счетов с банковскими выписками.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keepLines/>
              <w:keepNext/>
              <w:spacing w:after="60"/>
              <w:widowControl w:val="off"/>
            </w:pPr>
            <w:r>
              <w:rPr>
                <w:szCs w:val="28"/>
              </w:rPr>
              <w:t xml:space="preserve">Анализ показателей деятельности</w:t>
            </w:r>
            <w:r/>
          </w:p>
        </w:tc>
      </w:tr>
    </w:tbl>
    <w:p>
      <w:pPr>
        <w:pStyle w:val="1384"/>
        <w:contextualSpacing w:val="0"/>
        <w:ind w:left="567"/>
        <w:jc w:val="both"/>
        <w:spacing w:before="120" w:after="1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84"/>
        <w:numPr>
          <w:ilvl w:val="0"/>
          <w:numId w:val="10"/>
        </w:numPr>
        <w:contextualSpacing w:val="0"/>
        <w:jc w:val="both"/>
        <w:keepNext/>
        <w:spacing w:before="120" w:after="240" w:line="240" w:lineRule="auto"/>
        <w:rPr>
          <w:b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уровням внедрения КП: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5000" w:type="pct"/>
        <w:tblInd w:w="128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053"/>
        <w:gridCol w:w="3546"/>
        <w:gridCol w:w="4580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0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keepNext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Виды</w:t>
            </w:r>
            <w:r>
              <w:rPr>
                <w:rFonts w:cs="Times New Roman"/>
                <w:b/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6" w:type="dxa"/>
            <w:vAlign w:val="top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keepNext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Уровень внедрения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29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keepNext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Примеры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30" w:type="dxa"/>
            <w:vAlign w:val="top"/>
            <w:vMerge w:val="restart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Общие</w:t>
            </w:r>
            <w:r>
              <w:rPr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6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относящиеся к Обществу / ПО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29" w:type="dxa"/>
            <w:vAlign w:val="top"/>
            <w:textDirection w:val="lrTb"/>
            <w:noWrap w:val="false"/>
          </w:tcPr>
          <w:p>
            <w:pPr>
              <w:pStyle w:val="1128"/>
              <w:ind w:right="143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Ряд общих КП, относящихся к Корпоративному уровню приведен ниже в п.3.1.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30" w:type="dxa"/>
            <w:vAlign w:val="top"/>
            <w:vMerge w:val="continue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6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относящиеся к </w:t>
            </w:r>
            <w:r>
              <w:rPr>
                <w:szCs w:val="28"/>
              </w:rPr>
              <w:t xml:space="preserve">бизнес-процессу </w:t>
            </w:r>
            <w:r>
              <w:rPr>
                <w:szCs w:val="28"/>
              </w:rPr>
              <w:t xml:space="preserve">в целом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2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Примеры общих КП, относящихся к бизнес-процессу представлены ниже в п.3.2.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0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Специфические</w:t>
            </w:r>
            <w:r>
              <w:rPr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6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связанные с конкретными этапами и рисками </w:t>
            </w:r>
            <w:r>
              <w:rPr>
                <w:szCs w:val="28"/>
              </w:rPr>
              <w:t xml:space="preserve">бизнес-процесса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29" w:type="dxa"/>
            <w:vAlign w:val="top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Примеры специфических КП представлены ниже в п.3.3. </w:t>
            </w:r>
            <w:r/>
          </w:p>
        </w:tc>
      </w:tr>
    </w:tbl>
    <w:p>
      <w:pPr>
        <w:pStyle w:val="1128"/>
        <w:numPr>
          <w:ilvl w:val="1"/>
          <w:numId w:val="10"/>
        </w:numPr>
        <w:ind w:left="0" w:firstLine="567"/>
        <w:jc w:val="both"/>
        <w:pageBreakBefore/>
        <w:spacing w:before="120" w:after="120"/>
        <w:widowControl w:val="off"/>
        <w:rPr>
          <w:b/>
        </w:rPr>
      </w:pPr>
      <w:r>
        <w:rPr>
          <w:rFonts w:eastAsia="Calibri"/>
          <w:sz w:val="28"/>
          <w:szCs w:val="28"/>
        </w:rPr>
        <w:t xml:space="preserve">Примеры общих </w:t>
      </w:r>
      <w:r>
        <w:rPr>
          <w:rFonts w:eastAsia="Calibri"/>
          <w:sz w:val="28"/>
          <w:szCs w:val="28"/>
        </w:rPr>
        <w:t xml:space="preserve">КП</w:t>
      </w:r>
      <w:r>
        <w:rPr>
          <w:rFonts w:eastAsia="Calibri"/>
          <w:sz w:val="28"/>
          <w:szCs w:val="28"/>
        </w:rPr>
        <w:t xml:space="preserve">, относящихся к корпоративному уровню:</w:t>
      </w:r>
      <w:r>
        <w:rPr>
          <w:b/>
        </w:rPr>
      </w:r>
      <w:r>
        <w:rPr>
          <w:b/>
        </w:rPr>
      </w:r>
    </w:p>
    <w:tbl>
      <w:tblPr>
        <w:tblStyle w:val="1133"/>
        <w:tblW w:w="0" w:type="auto"/>
        <w:tblInd w:w="100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3076"/>
        <w:gridCol w:w="6962"/>
      </w:tblGrid>
      <w:tr>
        <w:tblPrEx/>
        <w:trPr>
          <w:trHeight w:val="28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textDirection w:val="lrTb"/>
            <w:noWrap w:val="false"/>
          </w:tcPr>
          <w:p>
            <w:pPr>
              <w:pStyle w:val="1128"/>
              <w:jc w:val="center"/>
              <w:spacing w:after="60"/>
              <w:widowControl w:val="off"/>
            </w:pPr>
            <w:r>
              <w:rPr>
                <w:b/>
              </w:rPr>
              <w:t xml:space="preserve">Критерий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spacing w:after="60" w:line="240" w:lineRule="auto"/>
            </w:pPr>
            <w:r>
              <w:rPr>
                <w:rFonts w:cs="Times New Roman"/>
                <w:b/>
              </w:rPr>
              <w:t xml:space="preserve">Контроль корпоративного уровня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spacing w:after="60"/>
            </w:pPr>
            <w:r>
              <w:t xml:space="preserve">Соблюдение этических норм и ценностей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утверждены высокие этические нормы и общепринятые правила делового поведения </w:t>
            </w:r>
            <w:r/>
          </w:p>
        </w:tc>
      </w:tr>
      <w:tr>
        <w:tblPrEx/>
        <w:trPr>
          <w:trHeight w:val="7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Работники осведомлены о принятых в Группе этических нормах и правилах делового поведения и согласны с ними</w:t>
            </w:r>
            <w:r/>
          </w:p>
        </w:tc>
      </w:tr>
      <w:tr>
        <w:tblPrEx/>
        <w:trPr>
          <w:trHeight w:val="8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spacing w:val="-2"/>
              </w:rPr>
              <w:t xml:space="preserve">Функционирует канал анонимного информирования о нарушениях этических норм и правил делового поведения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spacing w:val="-2"/>
              </w:rPr>
              <w:t xml:space="preserve">В Группе действует эффективная система выявления и фиксации фактов нарушения этических норм и правил делового поведения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spacing w:val="-2"/>
              </w:rPr>
              <w:t xml:space="preserve">В Группе разработана и функционирует система адекватного реагирования на факты отклонений от требований ЛНД (А) Общества и ПО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spacing w:after="60"/>
            </w:pPr>
            <w:r>
              <w:t xml:space="preserve">Организационная структура и стиль управления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spacing w:val="-2"/>
              </w:rPr>
              <w:t xml:space="preserve">Организационная</w:t>
            </w:r>
            <w:r>
              <w:t xml:space="preserve"> структура ПАО РусГидро/филиалов/ПО соответствует основным стратегическим целям.  Распределение задач, полномочий и ответственности закреплено за руководителями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В Группе определены обязанности и полномочия в части управления внутренним контролем бизнес-процессов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Система мотивации в Группе основана на выполнении КПЭ, связанных с достижением поставленных целей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Работники Группы осведомлены о своих полномочиях и ответственности, включая ответственность за осуществление КП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Совет директоров Общества / Комитет по аудиту при Совете директоров Общества осуществляет надзор за эффективностью внутреннего контроля, полнотой и достоверностью финансовой отчетности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Организационная структура ПАО РусГидро/филиалов/ПО обеспечивает независимость и объективность внутреннего аудита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spacing w:after="60"/>
            </w:pPr>
            <w:r>
              <w:t xml:space="preserve">Противодействие коррупции и мошенничеству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В Группе действуют строгие формализованные правила по борьбе с коррупцией и мошенничеством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имеются структурные подразделения, ответственные за методы выявления и противодействия коррупции и мошенничеству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Налажена система расследования фактов коррупции и мошенничества и принятия соответствующих мер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keepLines/>
              <w:keepNext/>
              <w:spacing w:after="60"/>
            </w:pPr>
            <w:r>
              <w:t xml:space="preserve">Компетентность и развитие работников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keepLines/>
              <w:keepNext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установлены </w:t>
            </w:r>
            <w:r>
              <w:rPr>
                <w:rFonts w:eastAsia="Calibri"/>
                <w:lang w:eastAsia="en-US"/>
              </w:rPr>
              <w:t xml:space="preserve">требования к квалификации и опыту работников, необходимые для выполнения обязанностей, включая обязанности по внедрению и выполнению КП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Проводится периодическая оценка работников Группы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проводится работа по обеспечению кадрами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осуществляется регулярное повышение квалификации, профессиональная переподготовка и обучение работников 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keepNext/>
              <w:spacing w:after="60"/>
            </w:pPr>
            <w:r>
              <w:t xml:space="preserve">Передача информации и коммуникации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keepNext/>
              <w:spacing w:after="60"/>
              <w:widowControl w:val="off"/>
            </w:pPr>
            <w:r>
              <w:t xml:space="preserve">В Группе налажены эффективные коммуникации и обмен информацией по вертикали и горизонтали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center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Функционируют каналы коммуникации, по которым работники Группы могут сообщить о слабостях или нарушениях процедур внутреннего контроля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center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В Группе налажена система раскрытия информации и коммуникаций с заинтересованными сторонами - поставщиками, потребителями, органами регулирования и акционерами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center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Группа осуществляет контроль за получением / передачей информации и информационной безопасностью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center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Группа внедряет информационные технологии для более эффективного осуществления операций и внутреннего контроля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spacing w:after="60"/>
            </w:pPr>
            <w:r>
              <w:t xml:space="preserve">Мониторинг функционирования управления внутренним контролем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В Группе определена ответственность за мониторинг внутреннего контроля бизнес-процессов и отдельных КП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t xml:space="preserve">ДКиУР организует проведение периодических оценок эффективности внутреннего контроля бизнес-процессов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проводится регулярный мониторинг нестандартных операций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76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62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  <w:widowControl w:val="off"/>
            </w:pPr>
            <w:r>
              <w:rPr>
                <w:color w:val="000000"/>
                <w:spacing w:val="-2"/>
              </w:rPr>
              <w:t xml:space="preserve">В Группе внедрены процедуры информирования о нарушениях и недостатках внутреннего контроля</w:t>
            </w:r>
            <w:r/>
          </w:p>
        </w:tc>
      </w:tr>
    </w:tbl>
    <w:p>
      <w:pPr>
        <w:pStyle w:val="1128"/>
        <w:numPr>
          <w:ilvl w:val="1"/>
          <w:numId w:val="10"/>
        </w:numPr>
        <w:ind w:left="0" w:firstLine="567"/>
        <w:jc w:val="both"/>
        <w:pageBreakBefore/>
        <w:spacing w:before="120" w:after="120"/>
        <w:widowControl w:val="off"/>
        <w:rPr>
          <w:b/>
          <w:szCs w:val="28"/>
        </w:rPr>
      </w:pPr>
      <w:r>
        <w:rPr>
          <w:rFonts w:eastAsia="Calibri"/>
          <w:sz w:val="28"/>
          <w:szCs w:val="28"/>
        </w:rPr>
        <w:t xml:space="preserve">Примеры общих </w:t>
      </w:r>
      <w:r>
        <w:rPr>
          <w:rFonts w:eastAsia="Calibri"/>
          <w:sz w:val="28"/>
          <w:szCs w:val="28"/>
        </w:rPr>
        <w:t xml:space="preserve">КП</w:t>
      </w:r>
      <w:r>
        <w:rPr>
          <w:rFonts w:eastAsia="Calibri"/>
          <w:sz w:val="28"/>
          <w:szCs w:val="28"/>
        </w:rPr>
        <w:t xml:space="preserve">, относящихся к бизнес-процессу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0" w:type="auto"/>
        <w:tblInd w:w="169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582"/>
        <w:gridCol w:w="7371"/>
      </w:tblGrid>
      <w:tr>
        <w:tblPrEx/>
        <w:trPr>
          <w:trHeight w:val="2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textDirection w:val="lrTb"/>
            <w:noWrap w:val="false"/>
          </w:tcPr>
          <w:p>
            <w:pPr>
              <w:pStyle w:val="1128"/>
              <w:jc w:val="center"/>
              <w:spacing w:after="60"/>
              <w:widowControl w:val="off"/>
            </w:pPr>
            <w:r>
              <w:rPr>
                <w:b/>
                <w:szCs w:val="28"/>
              </w:rPr>
              <w:t xml:space="preserve">Категории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 КП</w:t>
            </w:r>
            <w:r/>
          </w:p>
        </w:tc>
      </w:tr>
      <w:tr>
        <w:tblPrEx/>
        <w:trPr>
          <w:trHeight w:val="7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Превентивные (предупреждающие)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Ограничение круга лиц, имеющих право производить изменения базы данных контрагентов</w:t>
            </w:r>
            <w:r/>
          </w:p>
        </w:tc>
      </w:tr>
      <w:tr>
        <w:tblPrEx/>
        <w:trPr>
          <w:trHeight w:val="8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Авторизация изменений базы данных контрагентов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Процедура сохранения информации обо всех изменениях базы данных контрагентов со ссылками на номера приказов, на основании которых изменения производились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Ограничение круга лиц, имеющих право производить изменения классификатора номенклатур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Авторизация изменений классификатора номенклатур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Запрет на изменение договоров и дополнительных соглашений в базе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Ограничение круга лиц, имеющих право производить изменения ролей в ИС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Авторизация изменений ролей в ИС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Процедура сохранения информации обо всех изменениях ролей в ИС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Регистрация поступивших жалоб в ИС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Выявляющие (компенсирующие)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Сопоставление размещенных в базе договоров и дополнительных соглашений с последними версиями оригиналов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Мониторинг актуальности и полноты базы данных контрагентов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Мониторинг достаточности и актуальности аналитик в ИС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Периодический мониторинг актуальности ролей пользователей ИС с учетом перевода, повышения, изменения функций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2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128"/>
              <w:jc w:val="both"/>
              <w:spacing w:after="60"/>
            </w:pPr>
            <w:r>
              <w:rPr>
                <w:szCs w:val="28"/>
              </w:rPr>
              <w:t xml:space="preserve">Мониторинг статуса зарегистрированных жалоб в ИС</w:t>
            </w:r>
            <w:r/>
          </w:p>
        </w:tc>
      </w:tr>
    </w:tbl>
    <w:p>
      <w:pPr>
        <w:pStyle w:val="1128"/>
        <w:numPr>
          <w:ilvl w:val="1"/>
          <w:numId w:val="10"/>
        </w:numPr>
        <w:ind w:left="0" w:firstLine="567"/>
        <w:jc w:val="both"/>
        <w:keepNext/>
        <w:pageBreakBefore/>
        <w:spacing w:before="120" w:after="120"/>
        <w:widowControl w:val="off"/>
        <w:rPr>
          <w:b/>
          <w:szCs w:val="28"/>
        </w:rPr>
      </w:pPr>
      <w:r>
        <w:rPr>
          <w:rFonts w:eastAsia="Calibri"/>
          <w:sz w:val="28"/>
          <w:szCs w:val="28"/>
        </w:rPr>
        <w:t xml:space="preserve">Примеры специфических </w:t>
      </w:r>
      <w:r>
        <w:rPr>
          <w:rFonts w:eastAsia="Calibri"/>
          <w:sz w:val="28"/>
          <w:szCs w:val="28"/>
        </w:rPr>
        <w:t xml:space="preserve">КП </w:t>
      </w:r>
      <w:r>
        <w:rPr>
          <w:rFonts w:eastAsia="Calibri"/>
          <w:sz w:val="28"/>
          <w:szCs w:val="28"/>
        </w:rPr>
        <w:t xml:space="preserve">для бизнес-процесса «Закупочная деятельность» фрагмент процедуры «Конкурентная закупка»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0" w:type="auto"/>
        <w:tblInd w:w="215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677"/>
        <w:gridCol w:w="7230"/>
      </w:tblGrid>
      <w:tr>
        <w:tblPrEx/>
        <w:trPr>
          <w:trHeight w:val="2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7" w:type="dxa"/>
            <w:vAlign w:val="center"/>
            <w:textDirection w:val="lrTb"/>
            <w:noWrap w:val="false"/>
          </w:tcPr>
          <w:p>
            <w:pPr>
              <w:pStyle w:val="1128"/>
              <w:jc w:val="center"/>
              <w:keepNext/>
              <w:spacing w:after="60"/>
              <w:widowControl w:val="off"/>
            </w:pPr>
            <w:r>
              <w:rPr>
                <w:b/>
                <w:szCs w:val="28"/>
              </w:rPr>
              <w:t xml:space="preserve">Категория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keepNext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 КП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7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Выявляющие (компенсирующие)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Проверка пакета закупочной документации</w:t>
            </w:r>
            <w:r/>
          </w:p>
        </w:tc>
      </w:tr>
      <w:tr>
        <w:tblPrEx/>
        <w:trPr>
          <w:trHeight w:val="7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7" w:type="dxa"/>
            <w:vAlign w:val="center"/>
            <w:textDirection w:val="lrTb"/>
            <w:noWrap w:val="false"/>
          </w:tcPr>
          <w:p>
            <w:pPr>
              <w:pStyle w:val="1128"/>
              <w:ind w:right="57"/>
              <w:spacing w:after="60"/>
              <w:widowControl w:val="off"/>
            </w:pPr>
            <w:r>
              <w:rPr>
                <w:szCs w:val="28"/>
              </w:rPr>
              <w:t xml:space="preserve">Превентивные (предупреждающие)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Согласование ДоЗ / состава экспертной группы</w:t>
            </w:r>
            <w:r/>
          </w:p>
        </w:tc>
      </w:tr>
      <w:tr>
        <w:tblPrEx/>
        <w:trPr>
          <w:trHeight w:val="8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7" w:type="dxa"/>
            <w:vAlign w:val="center"/>
            <w:textDirection w:val="lrTb"/>
            <w:noWrap w:val="false"/>
          </w:tcPr>
          <w:p>
            <w:pPr>
              <w:pStyle w:val="1128"/>
              <w:ind w:left="57" w:right="57"/>
              <w:spacing w:after="60"/>
              <w:widowControl w:val="off"/>
            </w:pPr>
            <w:r>
              <w:rPr>
                <w:szCs w:val="28"/>
              </w:rPr>
              <w:t xml:space="preserve">Выявляющие (компенсирующие)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Экспертиза полученных заявок на участие в конкурентной закупке на соответствие требованиям ДоЗ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restart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Превентивные (предупреждающие)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Допуск (отклонение) заявок на участие в конкурентной закупке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Ранжирование допущенных заявок в порядке и по критериям оценки, установленным в ДоЗ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Проведение переторжки среди участников, заявки которых не были отклонены по результатам рассмотрения заявок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Постквалификация (для подтверждения ранее заявленных участником в заявке параметров квалификации и условий исполнения договора)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Подведение итогов закупки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Проведение преддоговорных переговоров с победителем закупки (единственным участником несостоявшейся закупки)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Подготовка отчета о проведении закупки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Включение в реестр договоров сведений о заключении договора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Включение в реестр договоров сведений об изменении условий заключенного договора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Ведение реестра исполнения договоров (окончательной оплаты договоров)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77" w:type="dxa"/>
            <w:vAlign w:val="center"/>
            <w:vMerge w:val="continue"/>
            <w:textDirection w:val="lrTb"/>
            <w:noWrap w:val="false"/>
          </w:tcPr>
          <w:p>
            <w:pPr>
              <w:pStyle w:val="1128"/>
              <w:spacing w:after="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0" w:type="dxa"/>
            <w:vAlign w:val="center"/>
            <w:textDirection w:val="lrTb"/>
            <w:noWrap w:val="false"/>
          </w:tcPr>
          <w:p>
            <w:pPr>
              <w:pStyle w:val="1128"/>
              <w:spacing w:after="60"/>
            </w:pPr>
            <w:r>
              <w:rPr>
                <w:szCs w:val="28"/>
              </w:rPr>
              <w:t xml:space="preserve">Включение в реестр договоров сведений о расторжении договора</w:t>
            </w:r>
            <w:r/>
          </w:p>
        </w:tc>
      </w:tr>
    </w:tbl>
    <w:p>
      <w:pPr>
        <w:pStyle w:val="1388"/>
        <w:rPr>
          <w:rFonts w:ascii="Symbol" w:hAnsi="Symbol" w:cs="Symbol"/>
        </w:rPr>
      </w:pPr>
      <w:r>
        <w:rPr>
          <w:rFonts w:ascii="Symbol" w:hAnsi="Symbol" w:cs="Symbol"/>
        </w:rPr>
      </w:r>
      <w:r>
        <w:rPr>
          <w:rFonts w:ascii="Symbol" w:hAnsi="Symbol" w:cs="Symbol"/>
        </w:rPr>
      </w:r>
    </w:p>
    <w:p>
      <w:pPr>
        <w:pStyle w:val="1128"/>
        <w:numPr>
          <w:ilvl w:val="0"/>
          <w:numId w:val="10"/>
        </w:numPr>
        <w:jc w:val="both"/>
        <w:keepNext/>
        <w:spacing w:before="120" w:after="120"/>
        <w:widowControl w:val="off"/>
        <w:rPr>
          <w:b/>
          <w:szCs w:val="28"/>
        </w:rPr>
      </w:pPr>
      <w:r>
        <w:t xml:space="preserve">По способу выполнения: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5000" w:type="pct"/>
        <w:jc w:val="center"/>
        <w:tblInd w:w="0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3133"/>
        <w:gridCol w:w="3417"/>
        <w:gridCol w:w="3629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8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Типы</w:t>
            </w:r>
            <w:r>
              <w:rPr>
                <w:rFonts w:cs="Times New Roman"/>
                <w:b/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9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8" w:type="dxa"/>
            <w:vAlign w:val="center"/>
            <w:textDirection w:val="lrTb"/>
            <w:noWrap w:val="false"/>
          </w:tcPr>
          <w:p>
            <w:pPr>
              <w:pStyle w:val="1388"/>
              <w:ind w:left="0" w:firstLine="0"/>
              <w:jc w:val="center"/>
              <w:spacing w:after="60" w:line="240" w:lineRule="auto"/>
            </w:pPr>
            <w:r>
              <w:rPr>
                <w:rFonts w:cs="Times New Roman"/>
                <w:b/>
                <w:szCs w:val="28"/>
              </w:rPr>
              <w:t xml:space="preserve">Примеры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spacing w:after="60"/>
              <w:widowControl w:val="off"/>
            </w:pPr>
            <w:r>
              <w:rPr>
                <w:szCs w:val="28"/>
              </w:rPr>
              <w:t xml:space="preserve">Автоматизированные</w:t>
            </w:r>
            <w:r>
              <w:rPr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осуществляемые автоматически, без участия исполнителя. Эффективность автоматизированных КП зависит от эффективности общих автоматизированных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Присвоение материалу на основании его кода номера счета, на который будет сделана проводка по его списанию.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Автоматизированная проверка разрядов номера счета.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Расчет себестоимости на основании заданного алгоритма в ИС.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Маршруты согласования</w:t>
            </w:r>
            <w:r>
              <w:rPr>
                <w:szCs w:val="28"/>
                <w:lang w:val="en-US"/>
              </w:rPr>
              <w:t xml:space="preserve">.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Автоматические сверки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spacing w:after="60"/>
              <w:widowControl w:val="off"/>
            </w:pPr>
            <w:r>
              <w:rPr>
                <w:szCs w:val="28"/>
              </w:rPr>
              <w:t xml:space="preserve">Ручные</w:t>
            </w:r>
            <w:r>
              <w:rPr>
                <w:szCs w:val="28"/>
                <w:lang w:val="en-US"/>
              </w:rPr>
              <w:t xml:space="preserve">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осуществляемые с участием исполнителя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Подписание приказа.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Сверка регистров учета.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Анализ рынка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spacing w:after="60"/>
              <w:widowControl w:val="off"/>
            </w:pPr>
            <w:r>
              <w:rPr>
                <w:szCs w:val="28"/>
              </w:rPr>
              <w:t xml:space="preserve">Комбинированные</w:t>
            </w:r>
            <w:r>
              <w:rPr>
                <w:szCs w:val="28"/>
                <w:lang w:val="en-US"/>
              </w:rPr>
              <w:t xml:space="preserve"> (</w:t>
            </w:r>
            <w:r>
              <w:rPr>
                <w:szCs w:val="28"/>
              </w:rPr>
              <w:t xml:space="preserve">информационно</w:t>
            </w:r>
            <w:r>
              <w:rPr>
                <w:szCs w:val="28"/>
                <w:lang w:val="en-US"/>
              </w:rPr>
              <w:t xml:space="preserve">-</w:t>
            </w:r>
            <w:r>
              <w:rPr>
                <w:szCs w:val="28"/>
              </w:rPr>
              <w:t xml:space="preserve">зависимые</w:t>
            </w:r>
            <w:r>
              <w:rPr>
                <w:szCs w:val="28"/>
                <w:lang w:val="en-US"/>
              </w:rPr>
              <w:t xml:space="preserve">)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9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КП, выполняемые исполнителем вручную, но зависимые от автоматизированных данных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8" w:type="dxa"/>
            <w:vAlign w:val="top"/>
            <w:textDirection w:val="lrTb"/>
            <w:noWrap w:val="false"/>
          </w:tcPr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Проверка отчета, выгруженного из ИС.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Выбор значений из фиксированного перечня.</w:t>
            </w:r>
            <w:r>
              <w:rPr>
                <w:szCs w:val="28"/>
              </w:rPr>
            </w:r>
          </w:p>
          <w:p>
            <w:pPr>
              <w:pStyle w:val="1128"/>
              <w:ind w:left="57" w:right="57"/>
              <w:jc w:val="both"/>
              <w:spacing w:after="60"/>
              <w:widowControl w:val="off"/>
            </w:pPr>
            <w:r>
              <w:rPr>
                <w:szCs w:val="28"/>
              </w:rPr>
              <w:t xml:space="preserve">Сопоставление отчетов об остатках запасов из бухгалтерской программы и из программы складского учета, выполняемое вручную</w:t>
            </w:r>
            <w:r/>
          </w:p>
        </w:tc>
      </w:tr>
    </w:tbl>
    <w:p>
      <w:pPr>
        <w:pStyle w:val="1128"/>
        <w:ind w:left="567"/>
        <w:jc w:val="right"/>
        <w:spacing w:before="120" w:after="120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28"/>
        <w:numPr>
          <w:ilvl w:val="0"/>
          <w:numId w:val="10"/>
        </w:numPr>
        <w:jc w:val="both"/>
        <w:keepNext/>
        <w:spacing w:before="120" w:after="120"/>
        <w:widowControl w:val="off"/>
        <w:rPr>
          <w:b/>
          <w:szCs w:val="28"/>
        </w:rPr>
      </w:pPr>
      <w:r>
        <w:t xml:space="preserve">Группы автоматизированных КП:</w:t>
      </w:r>
      <w:r>
        <w:rPr>
          <w:b/>
          <w:szCs w:val="28"/>
        </w:rPr>
      </w:r>
      <w:r>
        <w:rPr>
          <w:b/>
          <w:szCs w:val="28"/>
        </w:rPr>
      </w:r>
    </w:p>
    <w:tbl>
      <w:tblPr>
        <w:tblStyle w:val="1133"/>
        <w:tblW w:w="5000" w:type="pct"/>
        <w:jc w:val="center"/>
        <w:tblInd w:w="0" w:type="dxa"/>
        <w:tblLayout w:type="fixed"/>
        <w:tblCellMar>
          <w:left w:w="57" w:type="dxa"/>
          <w:top w:w="0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1701"/>
        <w:gridCol w:w="3738"/>
        <w:gridCol w:w="4740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2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line="240" w:lineRule="auto"/>
            </w:pPr>
            <w:r>
              <w:rPr>
                <w:rFonts w:cs="Times New Roman"/>
                <w:b/>
                <w:szCs w:val="28"/>
              </w:rPr>
              <w:t xml:space="preserve">Группа </w:t>
            </w:r>
            <w:r>
              <w:rPr>
                <w:rFonts w:cs="Times New Roman"/>
                <w:b/>
                <w:szCs w:val="28"/>
                <w:lang w:val="en-US"/>
              </w:rPr>
              <w:t xml:space="preserve">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96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line="240" w:lineRule="auto"/>
            </w:pPr>
            <w:r>
              <w:rPr>
                <w:rFonts w:cs="Times New Roman"/>
                <w:b/>
                <w:szCs w:val="28"/>
              </w:rPr>
              <w:t xml:space="preserve">Описание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87" w:type="dxa"/>
            <w:vAlign w:val="center"/>
            <w:textDirection w:val="lrTb"/>
            <w:noWrap w:val="false"/>
          </w:tcPr>
          <w:p>
            <w:pPr>
              <w:pStyle w:val="1388"/>
              <w:ind w:left="57" w:right="57" w:firstLine="0"/>
              <w:jc w:val="center"/>
              <w:spacing w:line="240" w:lineRule="auto"/>
            </w:pPr>
            <w:r>
              <w:rPr>
                <w:rFonts w:cs="Times New Roman"/>
                <w:b/>
                <w:szCs w:val="28"/>
              </w:rPr>
              <w:t xml:space="preserve">Цели контроля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2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spacing w:line="240" w:lineRule="auto"/>
            </w:pPr>
            <w:r>
              <w:rPr>
                <w:rFonts w:cs="Times New Roman"/>
                <w:szCs w:val="28"/>
              </w:rPr>
              <w:t xml:space="preserve">Общие</w:t>
            </w:r>
            <w:r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автоматизированные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96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line="240" w:lineRule="auto"/>
            </w:pPr>
            <w:r>
              <w:rPr>
                <w:rFonts w:cs="Times New Roman"/>
                <w:szCs w:val="28"/>
              </w:rPr>
              <w:t xml:space="preserve">КП, относящиеся ко всем компонентам ИС, процессам и данным, и включающие в себя контроль за разработкой и внедрением программног</w:t>
            </w:r>
            <w:r>
              <w:rPr>
                <w:rFonts w:cs="Times New Roman"/>
                <w:szCs w:val="28"/>
              </w:rPr>
              <w:t xml:space="preserve">о обеспечения, внесением изменений в программное обеспечение, эксплуатацией ИС и доступом к программному обеспечению и базам данных. Общие автоматизированные КП применяются в отношении прикладных систем и помогают обеспечить их надлежащее функционирование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87" w:type="dxa"/>
            <w:vAlign w:val="top"/>
            <w:textDirection w:val="lrTb"/>
            <w:noWrap w:val="false"/>
          </w:tcPr>
          <w:p>
            <w:pPr>
              <w:pStyle w:val="1388"/>
              <w:ind w:left="57" w:right="57"/>
              <w:jc w:val="both"/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⁃</w:t>
              <w:tab/>
            </w:r>
            <w:r>
              <w:rPr>
                <w:rFonts w:cs="Times New Roman"/>
                <w:i/>
                <w:szCs w:val="28"/>
              </w:rPr>
              <w:t xml:space="preserve">Управление изменениями.</w:t>
            </w:r>
            <w:r>
              <w:rPr>
                <w:rFonts w:cs="Times New Roman"/>
                <w:szCs w:val="28"/>
              </w:rPr>
              <w:t xml:space="preserve"> Системы тестируются и проверяются до их ввода в эксплуатацию при закупке / разработке или внесении изменений в систему.</w:t>
            </w:r>
            <w:r>
              <w:rPr>
                <w:rFonts w:cs="Times New Roman"/>
                <w:szCs w:val="28"/>
              </w:rPr>
            </w:r>
          </w:p>
          <w:p>
            <w:pPr>
              <w:pStyle w:val="1388"/>
              <w:ind w:left="57" w:right="57"/>
              <w:jc w:val="both"/>
              <w:spacing w:line="240" w:lineRule="auto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szCs w:val="28"/>
              </w:rPr>
              <w:t xml:space="preserve">⁃</w:t>
              <w:tab/>
            </w:r>
            <w:r>
              <w:rPr>
                <w:rFonts w:cs="Times New Roman"/>
                <w:i/>
                <w:szCs w:val="28"/>
              </w:rPr>
              <w:t xml:space="preserve">Эксплуатация систем.</w:t>
            </w:r>
            <w:r>
              <w:rPr>
                <w:rFonts w:cs="Times New Roman"/>
                <w:szCs w:val="28"/>
              </w:rPr>
              <w:t xml:space="preserve"> Критически важные данные ИС резервируются и хранятся в удаленном и защищенном помещении, использование систем / программ, которые неточно обрабатывают данные или обрабатывают неточные данные контролируются.</w:t>
            </w:r>
            <w:r>
              <w:rPr>
                <w:rFonts w:cs="Times New Roman"/>
                <w:i/>
                <w:szCs w:val="28"/>
              </w:rPr>
            </w:r>
            <w:r>
              <w:rPr>
                <w:rFonts w:cs="Times New Roman"/>
                <w:i/>
                <w:szCs w:val="28"/>
              </w:rPr>
            </w:r>
          </w:p>
          <w:p>
            <w:pPr>
              <w:pStyle w:val="1388"/>
              <w:ind w:left="57" w:right="57" w:firstLine="0"/>
              <w:jc w:val="both"/>
              <w:spacing w:line="240" w:lineRule="auto"/>
            </w:pPr>
            <w:r>
              <w:rPr>
                <w:rFonts w:cs="Times New Roman"/>
                <w:i/>
                <w:szCs w:val="28"/>
              </w:rPr>
              <w:t xml:space="preserve">Обеспечение безопасности.</w:t>
            </w:r>
            <w:r>
              <w:rPr>
                <w:rFonts w:cs="Times New Roman"/>
                <w:szCs w:val="28"/>
              </w:rPr>
              <w:t xml:space="preserve"> Системы и данные защищаются от неавторизованных изменений и уничтожения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2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line="240" w:lineRule="auto"/>
            </w:pPr>
            <w:r>
              <w:rPr>
                <w:rFonts w:cs="Times New Roman"/>
                <w:szCs w:val="28"/>
              </w:rPr>
              <w:t xml:space="preserve">Прикладные автоматизированные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96" w:type="dxa"/>
            <w:vAlign w:val="top"/>
            <w:textDirection w:val="lrTb"/>
            <w:noWrap w:val="false"/>
          </w:tcPr>
          <w:p>
            <w:pPr>
              <w:pStyle w:val="1388"/>
              <w:ind w:left="57" w:right="57" w:firstLine="0"/>
              <w:jc w:val="both"/>
              <w:spacing w:line="240" w:lineRule="auto"/>
            </w:pPr>
            <w:r>
              <w:rPr>
                <w:rFonts w:cs="Times New Roman"/>
                <w:szCs w:val="28"/>
              </w:rPr>
              <w:t xml:space="preserve">КП, осуществляемые на уровне обработки хозяйственных операций и относящиеся к конкретным программным продуктам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87" w:type="dxa"/>
            <w:vAlign w:val="top"/>
            <w:textDirection w:val="lrTb"/>
            <w:noWrap w:val="false"/>
          </w:tcPr>
          <w:p>
            <w:pPr>
              <w:pStyle w:val="1388"/>
              <w:ind w:left="57" w:right="57"/>
              <w:jc w:val="both"/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⁃</w:t>
              <w:tab/>
              <w:t xml:space="preserve">Корректность ввода информации в системы.</w:t>
            </w:r>
            <w:r>
              <w:rPr>
                <w:rFonts w:cs="Times New Roman"/>
                <w:szCs w:val="28"/>
              </w:rPr>
            </w:r>
          </w:p>
          <w:p>
            <w:pPr>
              <w:pStyle w:val="1388"/>
              <w:ind w:left="57" w:right="57"/>
              <w:jc w:val="both"/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⁃</w:t>
              <w:tab/>
              <w:t xml:space="preserve">Корректность обработки данных.</w:t>
            </w:r>
            <w:r>
              <w:rPr>
                <w:rFonts w:cs="Times New Roman"/>
                <w:szCs w:val="28"/>
              </w:rPr>
            </w:r>
          </w:p>
          <w:p>
            <w:pPr>
              <w:pStyle w:val="1388"/>
              <w:ind w:left="57" w:right="57"/>
              <w:jc w:val="both"/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⁃</w:t>
              <w:tab/>
              <w:t xml:space="preserve">Изменение данных в справочниках производится только при условии авторизации этих изменений.</w:t>
            </w:r>
            <w:r>
              <w:rPr>
                <w:rFonts w:cs="Times New Roman"/>
                <w:szCs w:val="28"/>
              </w:rPr>
            </w:r>
          </w:p>
          <w:p>
            <w:pPr>
              <w:pStyle w:val="1388"/>
              <w:ind w:left="57" w:right="57" w:firstLine="0"/>
              <w:jc w:val="both"/>
              <w:spacing w:line="240" w:lineRule="auto"/>
            </w:pPr>
            <w:r>
              <w:rPr>
                <w:rFonts w:cs="Times New Roman"/>
                <w:szCs w:val="28"/>
              </w:rPr>
              <w:t xml:space="preserve">Адекватный парольный доступ</w:t>
            </w:r>
            <w:r/>
          </w:p>
        </w:tc>
      </w:tr>
    </w:tbl>
    <w:p>
      <w:pPr>
        <w:pStyle w:val="1390"/>
        <w:ind w:left="6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390"/>
        <w:ind w:left="6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28"/>
        <w:sectPr>
          <w:footerReference w:type="default" r:id="rId29"/>
          <w:footerReference w:type="even" r:id="rId30"/>
          <w:footerReference w:type="first" r:id="rId31"/>
          <w:footnotePr/>
          <w:endnotePr/>
          <w:type w:val="nextPage"/>
          <w:pgSz w:w="11906" w:h="16838" w:orient="portrait"/>
          <w:pgMar w:top="993" w:right="707" w:bottom="765" w:left="1134" w:header="720" w:footer="709" w:gutter="0"/>
          <w:cols w:num="1" w:sep="0" w:space="720" w:equalWidth="1"/>
          <w:docGrid w:linePitch="360"/>
          <w:titlePg/>
        </w:sectPr>
      </w:pPr>
      <w:r/>
      <w:r/>
    </w:p>
    <w:p>
      <w:pPr>
        <w:pStyle w:val="1129"/>
        <w:jc w:val="right"/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ПРИЛОЖЕНИЕ 5</w:t>
      </w:r>
      <w:r/>
    </w:p>
    <w:p>
      <w:pPr>
        <w:pStyle w:val="1390"/>
        <w:ind w:left="644"/>
        <w:jc w:val="right"/>
        <w:spacing w:line="240" w:lineRule="auto"/>
        <w:rPr>
          <w:color w:val="000000"/>
        </w:rPr>
      </w:pPr>
      <w:r>
        <w:rPr>
          <w:color w:val="000000"/>
        </w:rPr>
        <w:t xml:space="preserve">к Положению об управлении системой внутреннего контроля и </w:t>
      </w:r>
      <w:r>
        <w:rPr>
          <w:color w:val="000000"/>
        </w:rPr>
      </w:r>
    </w:p>
    <w:p>
      <w:pPr>
        <w:pStyle w:val="1390"/>
        <w:ind w:left="644"/>
        <w:jc w:val="right"/>
        <w:spacing w:line="240" w:lineRule="auto"/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pPr>
      <w:r>
        <w:rPr>
          <w:color w:val="000000"/>
        </w:rPr>
        <w:t xml:space="preserve">управления рисками и внутренним контролем бизнес-процессов</w:t>
      </w:r>
      <w:r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r>
      <w:r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r>
    </w:p>
    <w:p>
      <w:pPr>
        <w:pStyle w:val="1390"/>
        <w:ind w:left="644"/>
        <w:jc w:val="right"/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r>
      <w:r>
        <w:rPr>
          <w:rFonts w:eastAsia="Calibri"/>
          <w:color w:val="000000"/>
          <w:sz w:val="28"/>
          <w:szCs w:val="28"/>
          <w:shd w:val="clear" w:color="auto" w:fill="ffff00"/>
          <w:lang w:eastAsia="en-US"/>
        </w:rPr>
      </w:r>
    </w:p>
    <w:p>
      <w:pPr>
        <w:pStyle w:val="1128"/>
        <w:ind w:firstLine="709"/>
        <w:jc w:val="center"/>
        <w:rPr>
          <w:b/>
          <w:sz w:val="18"/>
          <w:szCs w:val="18"/>
        </w:rPr>
      </w:pPr>
      <w:r>
        <w:t xml:space="preserve">МАТРИЦА РИСКОВ И </w:t>
      </w:r>
      <w:r>
        <w:t xml:space="preserve">КОНТРОЛЬНЫХ ПРОЦЕДУР </w:t>
      </w:r>
      <w:r>
        <w:t xml:space="preserve">ПО БИЗНЕС-ПРОЦЕССУ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tbl>
      <w:tblPr>
        <w:tblStyle w:val="1133"/>
        <w:tblW w:w="5250" w:type="pct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6"/>
        <w:gridCol w:w="951"/>
        <w:gridCol w:w="992"/>
        <w:gridCol w:w="992"/>
        <w:gridCol w:w="1418"/>
        <w:gridCol w:w="1701"/>
        <w:gridCol w:w="1275"/>
        <w:gridCol w:w="1560"/>
        <w:gridCol w:w="2126"/>
        <w:gridCol w:w="1984"/>
        <w:gridCol w:w="1560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Этап </w:t>
            </w:r>
            <w:r>
              <w:rPr>
                <w:b/>
                <w:sz w:val="18"/>
                <w:szCs w:val="18"/>
              </w:rPr>
              <w:t xml:space="preserve">бизнес-процесса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Наименование риска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Наименование КП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Цель выполнения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Исполнитель (должность, структурное подразделение /  роль)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Частота (периодичность) и сроки выполнения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Результат выполнения (эффект)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Документарное подтверждение выполнения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Уровень автоматизации (автоматизированная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/</w:t>
            </w:r>
            <w:r>
              <w:rPr>
                <w:b/>
                <w:sz w:val="18"/>
                <w:szCs w:val="18"/>
              </w:rPr>
              <w:t xml:space="preserve">ручная /комбинированная)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ИС</w:t>
            </w:r>
            <w:r>
              <w:rPr>
                <w:b/>
                <w:sz w:val="18"/>
                <w:szCs w:val="18"/>
              </w:rPr>
              <w:t xml:space="preserve"> (для автоматизированных и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роботизированных КП)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b/>
                <w:sz w:val="18"/>
                <w:szCs w:val="18"/>
              </w:rPr>
              <w:t xml:space="preserve">Пункт ЛНД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(А), закрепляющий выполнение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</w:pPr>
            <w:r>
              <w:rPr>
                <w:sz w:val="18"/>
                <w:szCs w:val="18"/>
                <w:lang w:val="en-US"/>
              </w:rPr>
              <w:t xml:space="preserve">11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1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pStyle w:val="1128"/>
        <w:ind w:firstLine="709"/>
        <w:jc w:val="center"/>
      </w:pPr>
      <w:r/>
      <w:r/>
    </w:p>
    <w:p>
      <w:pPr>
        <w:pStyle w:val="1128"/>
        <w:ind w:firstLine="709"/>
        <w:jc w:val="center"/>
        <w:spacing w:before="120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Требования к заполнению матрицы рисков и КП</w:t>
      </w:r>
      <w:r>
        <w:rPr>
          <w:rFonts w:eastAsia="Calibri"/>
          <w:bCs/>
          <w:sz w:val="28"/>
          <w:szCs w:val="28"/>
          <w:lang w:eastAsia="en-US"/>
        </w:rPr>
      </w:r>
      <w:r>
        <w:rPr>
          <w:rFonts w:eastAsia="Calibri"/>
          <w:bCs/>
          <w:sz w:val="28"/>
          <w:szCs w:val="28"/>
          <w:lang w:eastAsia="en-US"/>
        </w:rPr>
      </w:r>
    </w:p>
    <w:p>
      <w:pPr>
        <w:pStyle w:val="1128"/>
        <w:jc w:val="both"/>
        <w:spacing w:before="120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Заполнение формы Матрицы рисков и КП по бизнес-процессу осуществляется следующим образом:</w:t>
      </w:r>
      <w:r>
        <w:rPr>
          <w:rFonts w:eastAsia="Calibri"/>
          <w:bCs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Столбец 1 «Этап </w:t>
      </w:r>
      <w:r>
        <w:rPr>
          <w:rFonts w:eastAsia="Calibri"/>
          <w:bCs/>
          <w:sz w:val="28"/>
          <w:szCs w:val="28"/>
          <w:lang w:eastAsia="en-US"/>
        </w:rPr>
        <w:t xml:space="preserve">бизнес-процесса</w:t>
      </w:r>
      <w:r>
        <w:rPr>
          <w:rFonts w:eastAsia="Calibri"/>
          <w:bCs/>
          <w:sz w:val="28"/>
          <w:szCs w:val="28"/>
          <w:lang w:eastAsia="en-US"/>
        </w:rPr>
        <w:t xml:space="preserve">» – отражается декомпозиция бизнес-процесса.</w:t>
      </w:r>
      <w:r>
        <w:rPr>
          <w:rFonts w:eastAsia="Calibri"/>
          <w:bCs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Столбец 2 «Наименование риска» – указываются риск / риски, присущие процессу.</w:t>
      </w:r>
      <w:r>
        <w:rPr>
          <w:rFonts w:eastAsia="Calibri"/>
          <w:bCs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Столбец 3 «Наименование КП» – указывается КП, направленная на снижение риска. 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 наличия нескольких КП по одному риску необходимо добавление дополнительных строк в реестр.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4 «Цель выполнения»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для чего выполняется КП.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5 «Исполнитель (должность, структурное подразделение / роль)»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указывается должностное лицо / структурное подразделение / уполномоченный орган управления Общества.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 если КП автоматизированная, то под исполнителем понимается работник, ответственный за эксплуатацию данного технического средства или программного продукта.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6 «Частота (периодичность) и сроки выполнения КП»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указывается предельный срок, а также периодичность выполнения процедуры. 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7 «Результат выполнения (эффект)»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 что необходимо достичь по результатам КП.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8 «Документальное подтверждение выполнения»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документальный «след», подтверждающий выполнение. </w:t>
      </w:r>
      <w:r>
        <w:rPr>
          <w:sz w:val="28"/>
          <w:szCs w:val="28"/>
        </w:rPr>
        <w:t xml:space="preserve">К документальным «следам» КП относятся подписи, визы, печати, статус операции в ИС, протоколы, ОРД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9 «Уровень автоматизации КП</w:t>
      </w:r>
      <w:r>
        <w:rPr>
          <w:rFonts w:eastAsia="Calibri"/>
          <w:sz w:val="28"/>
          <w:szCs w:val="28"/>
          <w:lang w:eastAsia="en-US"/>
        </w:rPr>
        <w:t xml:space="preserve">»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определяется экспертным путем с учетом характеристик, указанных в главе </w:t>
      </w:r>
      <w:r>
        <w:rPr>
          <w:rFonts w:eastAsia="Calibri"/>
          <w:sz w:val="28"/>
          <w:szCs w:val="28"/>
          <w:lang w:eastAsia="en-US"/>
        </w:rPr>
        <w:t xml:space="preserve">8</w:t>
      </w:r>
      <w:r>
        <w:rPr>
          <w:rFonts w:eastAsia="Calibri"/>
          <w:sz w:val="28"/>
          <w:szCs w:val="28"/>
          <w:lang w:eastAsia="en-US"/>
        </w:rPr>
        <w:t xml:space="preserve"> Положения.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10 «</w:t>
      </w:r>
      <w:r>
        <w:rPr>
          <w:rFonts w:eastAsia="Calibri"/>
          <w:sz w:val="28"/>
          <w:szCs w:val="28"/>
          <w:lang w:eastAsia="en-US"/>
        </w:rPr>
        <w:t xml:space="preserve">ИС</w:t>
      </w:r>
      <w:r>
        <w:rPr>
          <w:rFonts w:eastAsia="Calibri"/>
          <w:sz w:val="28"/>
          <w:szCs w:val="28"/>
          <w:lang w:eastAsia="en-US"/>
        </w:rPr>
        <w:t xml:space="preserve"> (для автоматизированных КП)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указывается наименование ИС, используемой для контроля и / или отражения факта контроля.</w:t>
      </w:r>
      <w:r>
        <w:rPr>
          <w:rFonts w:eastAsia="Calibri"/>
          <w:sz w:val="28"/>
          <w:szCs w:val="28"/>
          <w:lang w:eastAsia="en-US"/>
        </w:rPr>
      </w:r>
    </w:p>
    <w:p>
      <w:pPr>
        <w:pStyle w:val="1128"/>
        <w:ind w:firstLine="851"/>
        <w:jc w:val="both"/>
        <w:spacing w:before="120" w:after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Столбец 11 «Пункт ЛНД (А), закрепляющий выполнение» </w:t>
      </w:r>
      <w:r>
        <w:rPr>
          <w:rFonts w:eastAsia="Calibri"/>
          <w:bCs/>
          <w:sz w:val="28"/>
          <w:szCs w:val="28"/>
          <w:lang w:eastAsia="en-US"/>
        </w:rPr>
        <w:t xml:space="preserve">–</w:t>
      </w:r>
      <w:r>
        <w:rPr>
          <w:rFonts w:eastAsia="Calibri"/>
          <w:sz w:val="28"/>
          <w:szCs w:val="28"/>
          <w:lang w:eastAsia="en-US"/>
        </w:rPr>
        <w:t xml:space="preserve"> указывается ссылка на пункт ЛНД (А) Общества/ПО и его реквизиты (вид, принявший орган, дата, номер, наименование), в котором КП описана и / или предусмотрена.</w:t>
      </w:r>
      <w:r>
        <w:rPr>
          <w:rFonts w:eastAsia="Calibri"/>
          <w:sz w:val="28"/>
          <w:szCs w:val="28"/>
          <w:lang w:eastAsia="en-US"/>
        </w:rPr>
      </w:r>
    </w:p>
    <w:sectPr>
      <w:footerReference w:type="default" r:id="rId32"/>
      <w:footerReference w:type="even" r:id="rId33"/>
      <w:footerReference w:type="first" r:id="rId34"/>
      <w:footnotePr/>
      <w:endnotePr/>
      <w:type w:val="nextPage"/>
      <w:pgSz w:w="16838" w:h="11906" w:orient="landscape"/>
      <w:pgMar w:top="1134" w:right="1134" w:bottom="1134" w:left="1134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Noto Sans CJK SC">
    <w:panose1 w:val="020B0502040504020204"/>
  </w:font>
  <w:font w:name="Liberation Sans">
    <w:panose1 w:val="020B0604020202020204"/>
  </w:font>
  <w:font w:name="Wingdings">
    <w:panose1 w:val="05010000000000000000"/>
  </w:font>
  <w:font w:name="OpenSymbol">
    <w:panose1 w:val="05010000000000000000"/>
  </w:font>
  <w:font w:name="Courier New">
    <w:panose1 w:val="02070309020205020404"/>
  </w:font>
  <w:font w:name="Symbol">
    <w:panose1 w:val="05010000000000000000"/>
  </w:font>
  <w:font w:name="Arial Narrow">
    <w:panose1 w:val="020B0604020202020204"/>
  </w:font>
  <w:font w:name="Times New Roman">
    <w:panose1 w:val="02020603050405020304"/>
  </w:font>
  <w:font w:name="Liberation Serif">
    <w:panose1 w:val="02020603050405020304"/>
  </w:font>
  <w:font w:name="Calibri Light">
    <w:panose1 w:val="020F0502020204030204"/>
  </w:font>
  <w:font w:name="Garamond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27</w:t>
    </w:r>
    <w:r>
      <w:fldChar w:fldCharType="end"/>
    </w:r>
    <w:r/>
  </w:p>
  <w:p>
    <w:pPr>
      <w:pStyle w:val="1368"/>
      <w:ind w:right="360"/>
    </w:pPr>
    <w:r/>
    <w:r/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31</w:t>
    </w:r>
    <w:r>
      <w:fldChar w:fldCharType="end"/>
    </w:r>
    <w:r/>
  </w:p>
  <w:p>
    <w:pPr>
      <w:pStyle w:val="1368"/>
    </w:pPr>
    <w:r/>
    <w:r/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ind w:right="360"/>
    </w:pPr>
    <w:r/>
    <w:r/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32</w:t>
    </w:r>
    <w:r>
      <w:fldChar w:fldCharType="end"/>
    </w:r>
    <w:r/>
  </w:p>
  <w:p>
    <w:pPr>
      <w:pStyle w:val="1368"/>
    </w:pPr>
    <w:r/>
    <w:r/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 xml:space="preserve">33</w:t>
    </w:r>
    <w:r>
      <w:fldChar w:fldCharType="end"/>
    </w:r>
    <w:r>
      <w:rPr>
        <w:color w:val="000000"/>
      </w:rPr>
    </w:r>
    <w:r>
      <w:rPr>
        <w:color w:val="000000"/>
      </w:rPr>
    </w:r>
  </w:p>
  <w:p>
    <w:pPr>
      <w:pStyle w:val="1128"/>
      <w:spacing w:after="200"/>
      <w:rPr>
        <w:color w:val="000000"/>
      </w:rPr>
    </w:pPr>
    <w:r>
      <w:rPr>
        <w:color w:val="000000"/>
      </w:rPr>
    </w:r>
    <w:r>
      <w:rPr>
        <w:color w:val="000000"/>
      </w:rPr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 xml:space="preserve">34</w:t>
    </w:r>
    <w:r>
      <w:fldChar w:fldCharType="end"/>
    </w:r>
    <w:r>
      <w:rPr>
        <w:color w:val="000000"/>
      </w:rPr>
    </w:r>
    <w:r>
      <w:rPr>
        <w:color w:val="000000"/>
      </w:rPr>
    </w:r>
  </w:p>
  <w:p>
    <w:pPr>
      <w:pStyle w:val="1128"/>
      <w:spacing w:after="200"/>
      <w:rPr>
        <w:color w:val="000000"/>
      </w:rPr>
    </w:pPr>
    <w:r>
      <w:rPr>
        <w:color w:val="000000"/>
      </w:rPr>
    </w:r>
    <w:r>
      <w:rPr>
        <w:color w:val="000000"/>
      </w:rPr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</w:pPr>
    <w:r/>
    <w:r/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41</w:t>
    </w:r>
    <w:r>
      <w:fldChar w:fldCharType="end"/>
    </w:r>
    <w:r/>
  </w:p>
  <w:p>
    <w:pPr>
      <w:pStyle w:val="1368"/>
      <w:ind w:right="360"/>
    </w:pPr>
    <w:r/>
    <w:r/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35</w:t>
    </w:r>
    <w:r>
      <w:fldChar w:fldCharType="end"/>
    </w:r>
    <w:r/>
  </w:p>
  <w:p>
    <w:pPr>
      <w:pStyle w:val="1128"/>
    </w:pPr>
    <w:r/>
    <w:r/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43</w:t>
    </w:r>
    <w:r>
      <w:fldChar w:fldCharType="end"/>
    </w:r>
    <w:r/>
  </w:p>
  <w:p>
    <w:pPr>
      <w:pStyle w:val="1128"/>
    </w:pPr>
    <w:r/>
    <w:r/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ind w:right="360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29</w:t>
    </w:r>
    <w:r>
      <w:fldChar w:fldCharType="end"/>
    </w:r>
    <w:r/>
  </w:p>
  <w:p>
    <w:pPr>
      <w:pStyle w:val="1368"/>
    </w:pPr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 xml:space="preserve">30</w:t>
    </w:r>
    <w:r>
      <w:fldChar w:fldCharType="end"/>
    </w:r>
    <w:r>
      <w:rPr>
        <w:color w:val="000000"/>
      </w:rPr>
    </w:r>
    <w:r>
      <w:rPr>
        <w:color w:val="000000"/>
      </w:rPr>
    </w:r>
  </w:p>
  <w:p>
    <w:pPr>
      <w:pStyle w:val="1128"/>
      <w:spacing w:after="200"/>
      <w:rPr>
        <w:color w:val="000000"/>
      </w:rPr>
    </w:pPr>
    <w:r>
      <w:rPr>
        <w:color w:val="000000"/>
      </w:rPr>
    </w:r>
    <w:r>
      <w:rPr>
        <w:color w:val="000000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8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  <w:footnote w:id="2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Определено Положением об организации и проведении контрольных мероприятий Службой внутреннего аудита ПАО «РусГидро» в новой редакции, утвержденное приказом Общества от 27.12.2024 № 931.</w:t>
      </w:r>
      <w:r/>
    </w:p>
  </w:footnote>
  <w:footnote w:id="3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Определено Положением по планированию и осуществлению мероприятий операционного контроля Департамента контроля и управления рисками ПАО «РусГидро», утвержденным приказом Общества от 21.09.2020 № 798.</w:t>
      </w:r>
      <w:r/>
    </w:p>
  </w:footnote>
  <w:footnote w:id="4">
    <w:p>
      <w:pPr>
        <w:pStyle w:val="1376"/>
        <w:jc w:val="both"/>
      </w:pPr>
      <w:r>
        <w:rPr>
          <w:rStyle w:val="1267"/>
        </w:rPr>
        <w:footnoteRef/>
      </w:r>
      <w:r>
        <w:t xml:space="preserve"> Утверждена решением Совета директоров Общества (протокол от 21.06.2019 № 291).</w:t>
      </w:r>
      <w:r/>
    </w:p>
  </w:footnote>
  <w:footnote w:id="5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Положение об управлении рисками Группы РусГидро в новой редакции, утвержденное приказом Общества</w:t>
      </w:r>
      <w:r>
        <w:br w:type="textWrapping" w:clear="all"/>
      </w:r>
      <w:r>
        <w:t xml:space="preserve">от 08.04.2025 № 291.</w:t>
      </w:r>
      <w:r/>
    </w:p>
  </w:footnote>
  <w:footnote w:id="6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Положение по планированию и осуществлению мероприятий операционного контроля Департамента контроля</w:t>
      </w:r>
      <w:r>
        <w:br w:type="textWrapping" w:clear="all"/>
      </w:r>
      <w:r>
        <w:t xml:space="preserve">и управления рисками ПАО «РусГидро», утвержденное приказом </w:t>
      </w:r>
      <w:r>
        <w:t xml:space="preserve">Общества</w:t>
      </w:r>
      <w:r>
        <w:t xml:space="preserve"> от 21.09.2020 № 798.</w:t>
      </w:r>
      <w:r/>
    </w:p>
  </w:footnote>
  <w:footnote w:id="7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Одобрена решением Правления Общества (протокол от 20.01.2025 № 1530пр).</w:t>
      </w:r>
      <w:r/>
    </w:p>
  </w:footnote>
  <w:footnote w:id="8">
    <w:p>
      <w:pPr>
        <w:pStyle w:val="1376"/>
        <w:jc w:val="both"/>
      </w:pPr>
      <w:r>
        <w:rPr>
          <w:rStyle w:val="1267"/>
          <w:rFonts w:ascii="Liberation Serif" w:hAnsi="Liberation Serif"/>
        </w:rPr>
        <w:footnoteRef/>
      </w:r>
      <w:r>
        <w:t xml:space="preserve"> В Обществе - члены Правления, заместители Генерального директора, руководит</w:t>
      </w:r>
      <w:r>
        <w:t xml:space="preserve">ели структурных подразделений прямого подчинения Председателю Правления – Генеральному директору; в ПО - коллегиальный исполнительный орган, заместители единоличного исполнительного органа, иные должностные лица с учетом организационных особенностей в них.</w:t>
      </w:r>
      <w:r/>
    </w:p>
  </w:footnote>
  <w:footnote w:id="9">
    <w:p>
      <w:pPr>
        <w:pStyle w:val="1376"/>
      </w:pPr>
      <w:r>
        <w:rPr>
          <w:rStyle w:val="1267"/>
        </w:rPr>
        <w:footnoteRef/>
      </w:r>
      <w:r>
        <w:t xml:space="preserve"> В соответствии с утвержденным планом развития СВКиУР.</w:t>
      </w:r>
      <w:r/>
    </w:p>
  </w:footnote>
  <w:footnote w:id="10">
    <w:p>
      <w:pPr>
        <w:pStyle w:val="1376"/>
        <w:jc w:val="both"/>
      </w:pPr>
      <w:r>
        <w:rPr>
          <w:rStyle w:val="1267"/>
        </w:rPr>
        <w:footnoteRef/>
      </w:r>
      <w:r>
        <w:t xml:space="preserve"> Перечисленный перечень не является закрытым и может расширятся по решению руководителя Блока ВКиУР.</w:t>
      </w:r>
      <w:r/>
    </w:p>
  </w:footnote>
  <w:footnote w:id="11">
    <w:p>
      <w:pPr>
        <w:pStyle w:val="1376"/>
      </w:pPr>
      <w:r>
        <w:rPr>
          <w:rStyle w:val="1267"/>
        </w:rPr>
        <w:footnoteRef/>
      </w:r>
      <w:r>
        <w:t xml:space="preserve"> По правилам Положения о системе управления процессами Группы РусГидро.</w:t>
      </w:r>
      <w:r/>
    </w:p>
  </w:footnote>
  <w:footnote w:id="12">
    <w:p>
      <w:pPr>
        <w:pStyle w:val="1376"/>
      </w:pPr>
      <w:r>
        <w:rPr>
          <w:rStyle w:val="1267"/>
          <w:rFonts w:ascii="Symbol" w:hAnsi="Symbol"/>
        </w:rPr>
        <w:footnoteRef/>
      </w:r>
      <w:r>
        <w:t xml:space="preserve"> Утвержденным приказом Общества от 08.04.2025 № 291.</w:t>
      </w:r>
      <w:r/>
    </w:p>
  </w:footnote>
  <w:footnote w:id="13">
    <w:p>
      <w:pPr>
        <w:pStyle w:val="1376"/>
        <w:jc w:val="both"/>
      </w:pPr>
      <w:r>
        <w:rPr>
          <w:rStyle w:val="1267"/>
          <w:rFonts w:ascii="Symbol" w:hAnsi="Symbol"/>
        </w:rPr>
        <w:footnoteRef/>
      </w:r>
      <w:r>
        <w:t xml:space="preserve"> Положение по планированию и осуществлению мероприятий операционного контроля Департамента контроля</w:t>
      </w:r>
      <w:r>
        <w:br w:type="textWrapping" w:clear="all"/>
      </w:r>
      <w:r>
        <w:t xml:space="preserve">и управления рисками ПАО «РусГидро», утвержденное приказом Общества от 21.09.2020 № 798;</w:t>
      </w:r>
      <w:r/>
    </w:p>
    <w:p>
      <w:pPr>
        <w:pStyle w:val="1376"/>
        <w:jc w:val="both"/>
      </w:pPr>
      <w:r>
        <w:t xml:space="preserve">Положение об организации и проведении контрольных мероприятий Службой внутреннего аудита </w:t>
        <w:br w:type="textWrapping" w:clear="all"/>
        <w:t xml:space="preserve">ПАО «РусГидро» в новой редакции, утвержденное приказом Общества от 27.12.2024 № 931;</w:t>
      </w:r>
      <w:r/>
    </w:p>
    <w:p>
      <w:pPr>
        <w:pStyle w:val="1376"/>
        <w:jc w:val="both"/>
      </w:pPr>
      <w:r>
        <w:t xml:space="preserve">Методика организации подготовки и исполнения планов корректирующих мероприятий по результатам проверок Блока внутреннего контроля и управления рисками ПАО «РусГидро», утверждена приказом Общества от 24.11.2021 № 1069.</w:t>
      </w:r>
      <w:r/>
    </w:p>
  </w:footnote>
  <w:footnote w:id="14">
    <w:p>
      <w:pPr>
        <w:pStyle w:val="1376"/>
      </w:pPr>
      <w:r>
        <w:rPr>
          <w:rStyle w:val="1267"/>
        </w:rPr>
        <w:footnoteRef/>
      </w:r>
      <w:r>
        <w:t xml:space="preserve"> Владельцами процесса виды КП могут быть дополнены при необходимости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12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113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pStyle w:val="136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pStyle w:val="1383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upperRoman"/>
      <w:pStyle w:val="1369"/>
      <w:isLgl w:val="false"/>
      <w:suff w:val="tab"/>
      <w:lvlText w:val="Раздел 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Глава %2.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2.%3.%4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bullet"/>
      <w:isLgl w:val="false"/>
      <w:suff w:val="tab"/>
      <w:lvlText w:val=""/>
      <w:lvlJc w:val="left"/>
      <w:pPr>
        <w:ind w:left="1080" w:hanging="1080"/>
        <w:tabs>
          <w:tab w:val="num" w:pos="1077" w:leader="none"/>
        </w:tabs>
      </w:pPr>
      <w:rPr>
        <w:rFonts w:ascii="Symbol" w:hAnsi="Symbol" w:cs="Symbol"/>
        <w:color w:val="000000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  <w:tabs>
          <w:tab w:val="num" w:pos="1800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364"/>
      <w:isLgl w:val="false"/>
      <w:suff w:val="tab"/>
      <w:lvlText w:val=" 4.1.%1 "/>
      <w:lvlJc w:val="left"/>
      <w:pPr>
        <w:ind w:left="4532" w:hanging="420"/>
        <w:tabs>
          <w:tab w:val="num" w:pos="4532" w:leader="none"/>
        </w:tabs>
      </w:pPr>
      <w:rPr>
        <w:position w:val="0"/>
        <w:sz w:val="24"/>
        <w:szCs w:val="28"/>
        <w:vertAlign w:val="baseline"/>
      </w:rPr>
    </w:lvl>
    <w:lvl w:ilvl="1">
      <w:start w:val="1"/>
      <w:numFmt w:val="decimal"/>
      <w:isLgl w:val="false"/>
      <w:suff w:val="tab"/>
      <w:lvlText w:val="4.2. %1.%2 "/>
      <w:lvlJc w:val="left"/>
      <w:pPr>
        <w:ind w:left="4832" w:hanging="720"/>
        <w:tabs>
          <w:tab w:val="num" w:pos="4832" w:leader="none"/>
        </w:tabs>
      </w:pPr>
    </w:lvl>
    <w:lvl w:ilvl="2">
      <w:start w:val="1"/>
      <w:numFmt w:val="decimal"/>
      <w:isLgl w:val="false"/>
      <w:suff w:val="tab"/>
      <w:lvlText w:val=" %1.2.%3 "/>
      <w:lvlJc w:val="left"/>
      <w:pPr>
        <w:ind w:left="4832" w:hanging="720"/>
        <w:tabs>
          <w:tab w:val="num" w:pos="4832" w:leader="none"/>
        </w:tabs>
      </w:pPr>
    </w:lvl>
    <w:lvl w:ilvl="3">
      <w:start w:val="1"/>
      <w:numFmt w:val="decimal"/>
      <w:isLgl w:val="false"/>
      <w:suff w:val="tab"/>
      <w:lvlText w:val=" %1.%2.%3.%4 "/>
      <w:lvlJc w:val="left"/>
      <w:pPr>
        <w:ind w:left="5192" w:hanging="1080"/>
        <w:tabs>
          <w:tab w:val="num" w:pos="5192" w:leader="none"/>
        </w:tabs>
      </w:pPr>
    </w:lvl>
    <w:lvl w:ilvl="4">
      <w:start w:val="1"/>
      <w:numFmt w:val="decimal"/>
      <w:isLgl w:val="false"/>
      <w:suff w:val="tab"/>
      <w:lvlText w:val=" %1.%2.%3.%4.%5 "/>
      <w:lvlJc w:val="left"/>
      <w:pPr>
        <w:ind w:left="5192" w:hanging="1080"/>
        <w:tabs>
          <w:tab w:val="num" w:pos="5192" w:leader="none"/>
        </w:tabs>
      </w:pPr>
    </w:lvl>
    <w:lvl w:ilvl="5">
      <w:start w:val="1"/>
      <w:numFmt w:val="decimal"/>
      <w:isLgl w:val="false"/>
      <w:suff w:val="tab"/>
      <w:lvlText w:val=" %1.%2.%3.%4.%5.%6 "/>
      <w:lvlJc w:val="left"/>
      <w:pPr>
        <w:ind w:left="5552" w:hanging="1440"/>
        <w:tabs>
          <w:tab w:val="num" w:pos="5552" w:leader="none"/>
        </w:tabs>
      </w:pPr>
    </w:lvl>
    <w:lvl w:ilvl="6">
      <w:start w:val="1"/>
      <w:numFmt w:val="decimal"/>
      <w:isLgl w:val="false"/>
      <w:suff w:val="tab"/>
      <w:lvlText w:val=" %1.%2.%3.%4.%5.%6.%7 "/>
      <w:lvlJc w:val="left"/>
      <w:pPr>
        <w:ind w:left="5912" w:hanging="1800"/>
        <w:tabs>
          <w:tab w:val="num" w:pos="5912" w:leader="none"/>
        </w:tabs>
      </w:pPr>
    </w:lvl>
    <w:lvl w:ilvl="7">
      <w:start w:val="1"/>
      <w:numFmt w:val="decimal"/>
      <w:isLgl w:val="false"/>
      <w:suff w:val="tab"/>
      <w:lvlText w:val=" %1.%2.%3.%4.%5.%6.%7.%8 "/>
      <w:lvlJc w:val="left"/>
      <w:pPr>
        <w:ind w:left="5912" w:hanging="1800"/>
        <w:tabs>
          <w:tab w:val="num" w:pos="5912" w:leader="none"/>
        </w:tabs>
      </w:pPr>
    </w:lvl>
    <w:lvl w:ilvl="8">
      <w:start w:val="1"/>
      <w:numFmt w:val="decimal"/>
      <w:isLgl w:val="false"/>
      <w:suff w:val="tab"/>
      <w:lvlText w:val=" %1.%2.%3.%4.%5.%6.%7.%8.%9 "/>
      <w:lvlJc w:val="left"/>
      <w:pPr>
        <w:ind w:left="6272" w:hanging="2160"/>
        <w:tabs>
          <w:tab w:val="num" w:pos="6272" w:leader="none"/>
        </w:tabs>
      </w:p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Раздел %1"/>
      <w:lvlJc w:val="right"/>
      <w:pPr>
        <w:ind w:left="454" w:firstLine="680"/>
        <w:tabs>
          <w:tab w:val="num" w:pos="284" w:leader="none"/>
        </w:tabs>
      </w:pPr>
      <w:rPr>
        <w:b/>
        <w:caps/>
        <w:position w:val="0"/>
        <w:sz w:val="24"/>
        <w:szCs w:val="28"/>
        <w:vertAlign w:val="baseline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bullet"/>
      <w:isLgl w:val="false"/>
      <w:suff w:val="tab"/>
      <w:lvlText w:val=""/>
      <w:lvlJc w:val="left"/>
      <w:pPr>
        <w:ind w:left="720" w:hanging="720"/>
        <w:tabs>
          <w:tab w:val="num" w:pos="720" w:leader="none"/>
        </w:tabs>
      </w:pPr>
      <w:rPr>
        <w:rFonts w:ascii="Symbol" w:hAnsi="Symbol" w:cs="Symbol"/>
        <w:color w:val="000000"/>
      </w:rPr>
    </w:lvl>
    <w:lvl w:ilvl="4">
      <w:start w:val="1"/>
      <w:numFmt w:val="bullet"/>
      <w:isLgl w:val="false"/>
      <w:suff w:val="tab"/>
      <w:lvlText w:val=""/>
      <w:lvlJc w:val="left"/>
      <w:pPr>
        <w:ind w:left="1080" w:hanging="1080"/>
        <w:tabs>
          <w:tab w:val="num" w:pos="1077" w:leader="none"/>
        </w:tabs>
      </w:pPr>
      <w:rPr>
        <w:rFonts w:ascii="Symbol" w:hAnsi="Symbol" w:cs="Symbol"/>
        <w:color w:val="000000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  <w:tabs>
          <w:tab w:val="num" w:pos="180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Глава %1."/>
      <w:lvlJc w:val="left"/>
      <w:pPr>
        <w:ind w:left="1920" w:hanging="360"/>
        <w:tabs>
          <w:tab w:val="num" w:pos="1560" w:leader="none"/>
        </w:tabs>
      </w:pPr>
      <w:rPr>
        <w:rFonts w:ascii="Times New Roman" w:hAnsi="Times New Roman" w:eastAsia="Times New Roman" w:cs="Times New Roman"/>
        <w:caps/>
        <w:color w:val="auto"/>
        <w:position w:val="0"/>
        <w:sz w:val="28"/>
        <w:vertAlign w:val="baseline"/>
        <w:lang w:val="ru-RU" w:eastAsia="zh-CN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  <w:tabs>
          <w:tab w:val="num" w:pos="-284" w:leader="none"/>
        </w:tabs>
      </w:pPr>
      <w:rPr>
        <w:rFonts w:ascii="Times New Roman" w:hAnsi="Times New Roman" w:cs="Times New Roman"/>
        <w:b w:val="0"/>
        <w:position w:val="0"/>
        <w:sz w:val="28"/>
        <w:szCs w:val="28"/>
        <w:vertAlign w:val="baseli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30" w:hanging="504"/>
        <w:tabs>
          <w:tab w:val="num" w:pos="-294" w:leader="none"/>
        </w:tabs>
      </w:pPr>
      <w:rPr>
        <w:rFonts w:ascii="Times New Roman" w:hAnsi="Times New Roman" w:cs="Times New Roman"/>
        <w:position w:val="0"/>
        <w:sz w:val="28"/>
        <w:szCs w:val="28"/>
        <w:vertAlign w:val="baseli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32" w:hanging="648"/>
        <w:tabs>
          <w:tab w:val="num" w:pos="-796" w:leader="none"/>
        </w:tabs>
      </w:pPr>
      <w:rPr>
        <w:rFonts w:ascii="Times New Roman" w:hAnsi="Times New Roman" w:cs="Times New Roman"/>
        <w:color w:val="000000"/>
        <w:sz w:val="28"/>
        <w:szCs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0" w:leader="none"/>
        </w:tabs>
      </w:pPr>
      <w:rPr>
        <w:color w:val="00000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0" w:leader="none"/>
        </w:tabs>
      </w:pPr>
    </w:lvl>
  </w:abstractNum>
  <w:abstractNum w:abstractNumId="7">
    <w:multiLevelType w:val="hybridMultilevel"/>
    <w:lvl w:ilvl="0">
      <w:start w:val="0"/>
      <w:numFmt w:val="bullet"/>
      <w:isLgl w:val="false"/>
      <w:suff w:val="tab"/>
      <w:lvlText w:val="⁃"/>
      <w:lvlJc w:val="left"/>
      <w:pPr>
        <w:ind w:left="702" w:hanging="360"/>
        <w:tabs>
          <w:tab w:val="num" w:pos="0" w:leader="none"/>
        </w:tabs>
      </w:pPr>
      <w:rPr>
        <w:rFonts w:ascii="Times New Roman" w:hAnsi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8"/>
        <w:szCs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120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920" w:hanging="2160"/>
        <w:tabs>
          <w:tab w:val="num" w:pos="0" w:leader="none"/>
        </w:tabs>
      </w:pPr>
    </w:lvl>
  </w:abstractNum>
  <w:abstractNum w:abstractNumId="10">
    <w:multiLevelType w:val="hybridMultilevel"/>
    <w:lvl w:ilvl="0">
      <w:start w:val="0"/>
      <w:numFmt w:val="bullet"/>
      <w:isLgl w:val="false"/>
      <w:suff w:val="tab"/>
      <w:lvlText w:val=""/>
      <w:lvlJc w:val="left"/>
      <w:pPr>
        <w:ind w:left="1287" w:hanging="360"/>
        <w:tabs>
          <w:tab w:val="num" w:pos="0" w:leader="none"/>
        </w:tabs>
      </w:pPr>
      <w:rPr>
        <w:rFonts w:ascii="Symbol" w:hAnsi="Symbol" w:cs="Times New Roman"/>
        <w:color w:val="auto"/>
        <w:sz w:val="28"/>
        <w:szCs w:val="28"/>
        <w:lang w:val="ru-RU" w:eastAsia="zh-CN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128"/>
    <w:next w:val="112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1128"/>
    <w:next w:val="112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1128"/>
    <w:next w:val="112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1128"/>
    <w:next w:val="112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128"/>
    <w:next w:val="112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128"/>
    <w:next w:val="112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128"/>
    <w:next w:val="112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128"/>
    <w:next w:val="112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128"/>
    <w:next w:val="112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1128"/>
    <w:next w:val="112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1128"/>
    <w:next w:val="112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1128"/>
    <w:next w:val="112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1128"/>
    <w:next w:val="112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112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112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1128"/>
    <w:next w:val="11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112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112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1128"/>
    <w:next w:val="112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1128"/>
    <w:next w:val="112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1128"/>
    <w:next w:val="112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1128"/>
    <w:next w:val="112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1128"/>
    <w:next w:val="112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1128"/>
    <w:next w:val="112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1128"/>
    <w:next w:val="112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1128"/>
    <w:next w:val="112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1128"/>
    <w:next w:val="112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1128"/>
    <w:next w:val="1128"/>
    <w:uiPriority w:val="99"/>
    <w:unhideWhenUsed/>
    <w:pPr>
      <w:spacing w:after="0" w:afterAutospacing="0"/>
    </w:pPr>
  </w:style>
  <w:style w:type="paragraph" w:styleId="1128" w:default="1">
    <w:name w:val="Normal"/>
    <w:next w:val="1128"/>
    <w:link w:val="1128"/>
    <w:qFormat/>
    <w:rPr>
      <w:sz w:val="24"/>
      <w:szCs w:val="24"/>
      <w:lang w:val="ru-RU" w:eastAsia="zh-CN" w:bidi="ar-SA"/>
    </w:rPr>
  </w:style>
  <w:style w:type="paragraph" w:styleId="1129">
    <w:name w:val="Заголовок 1"/>
    <w:basedOn w:val="1128"/>
    <w:next w:val="1128"/>
    <w:link w:val="1128"/>
    <w:qFormat/>
    <w:pPr>
      <w:numPr>
        <w:ilvl w:val="0"/>
        <w:numId w:val="1"/>
      </w:numPr>
      <w:pageBreakBefore/>
      <w:spacing w:before="240" w:after="60"/>
      <w:widowControl w:val="off"/>
      <w:outlineLvl w:val="0"/>
    </w:pPr>
    <w:rPr>
      <w:rFonts w:ascii="Garamond" w:hAnsi="Garamond" w:cs="Garamond"/>
      <w:b/>
      <w:sz w:val="28"/>
      <w:szCs w:val="20"/>
    </w:rPr>
  </w:style>
  <w:style w:type="paragraph" w:styleId="1130">
    <w:name w:val="Заголовок 2"/>
    <w:basedOn w:val="1128"/>
    <w:next w:val="1128"/>
    <w:link w:val="1128"/>
    <w:qFormat/>
    <w:pPr>
      <w:numPr>
        <w:ilvl w:val="1"/>
        <w:numId w:val="1"/>
      </w:numPr>
      <w:keepNext/>
      <w:spacing w:before="240" w:after="60"/>
      <w:outlineLvl w:val="1"/>
    </w:pPr>
    <w:rPr>
      <w:rFonts w:ascii="Garamond" w:hAnsi="Garamond" w:cs="Garamond"/>
      <w:b/>
      <w:szCs w:val="20"/>
    </w:rPr>
  </w:style>
  <w:style w:type="paragraph" w:styleId="1131">
    <w:name w:val="Заголовок 3"/>
    <w:basedOn w:val="1128"/>
    <w:next w:val="1128"/>
    <w:link w:val="1128"/>
    <w:qFormat/>
    <w:pPr>
      <w:keepNext/>
      <w:spacing w:before="240" w:after="60"/>
      <w:outlineLvl w:val="2"/>
    </w:pPr>
    <w:rPr>
      <w:rFonts w:ascii="Calibri Light" w:hAnsi="Calibri Light" w:eastAsia="Times New Roman" w:cs="Times New Roman"/>
      <w:b/>
      <w:bCs/>
      <w:sz w:val="26"/>
      <w:szCs w:val="26"/>
    </w:rPr>
  </w:style>
  <w:style w:type="character" w:styleId="1132">
    <w:name w:val="WW8Num3z0"/>
    <w:next w:val="1132"/>
    <w:link w:val="1128"/>
    <w:rPr>
      <w:rFonts w:ascii="Symbol" w:hAnsi="Symbol" w:cs="Symbol"/>
    </w:rPr>
  </w:style>
  <w:style w:type="character" w:styleId="1133">
    <w:name w:val="WW8Num4z0"/>
    <w:next w:val="1133"/>
    <w:link w:val="1128"/>
  </w:style>
  <w:style w:type="character" w:styleId="1134">
    <w:name w:val="WW8Num4z4"/>
    <w:next w:val="1134"/>
    <w:link w:val="1128"/>
    <w:rPr>
      <w:rFonts w:ascii="Symbol" w:hAnsi="Symbol" w:cs="Symbol"/>
      <w:color w:val="000000"/>
    </w:rPr>
  </w:style>
  <w:style w:type="character" w:styleId="1135">
    <w:name w:val="WW8Num5z0"/>
    <w:next w:val="1135"/>
    <w:link w:val="1128"/>
    <w:rPr>
      <w:position w:val="0"/>
      <w:sz w:val="24"/>
      <w:szCs w:val="28"/>
      <w:vertAlign w:val="baseline"/>
    </w:rPr>
  </w:style>
  <w:style w:type="character" w:styleId="1136">
    <w:name w:val="WW8Num5z1"/>
    <w:next w:val="1136"/>
    <w:link w:val="1128"/>
  </w:style>
  <w:style w:type="character" w:styleId="1137">
    <w:name w:val="WW8Num6z0"/>
    <w:next w:val="1137"/>
    <w:link w:val="1128"/>
    <w:rPr>
      <w:b/>
      <w:caps/>
      <w:position w:val="0"/>
      <w:sz w:val="24"/>
      <w:szCs w:val="28"/>
      <w:vertAlign w:val="baseline"/>
    </w:rPr>
  </w:style>
  <w:style w:type="character" w:styleId="1138">
    <w:name w:val="WW8Num6z1"/>
    <w:next w:val="1138"/>
    <w:link w:val="1128"/>
  </w:style>
  <w:style w:type="character" w:styleId="1139">
    <w:name w:val="WW8Num6z3"/>
    <w:next w:val="1139"/>
    <w:link w:val="1128"/>
    <w:rPr>
      <w:rFonts w:ascii="Symbol" w:hAnsi="Symbol" w:cs="Symbol"/>
      <w:color w:val="000000"/>
    </w:rPr>
  </w:style>
  <w:style w:type="character" w:styleId="1140">
    <w:name w:val="WW8Num7z0"/>
    <w:next w:val="1140"/>
    <w:link w:val="1128"/>
    <w:rPr>
      <w:rFonts w:ascii="Times New Roman" w:hAnsi="Times New Roman" w:eastAsia="Times New Roman" w:cs="Times New Roman"/>
      <w:caps/>
      <w:color w:val="auto"/>
      <w:position w:val="0"/>
      <w:sz w:val="28"/>
      <w:vertAlign w:val="baseline"/>
      <w:lang w:val="ru-RU" w:eastAsia="zh-CN" w:bidi="ar-SA"/>
    </w:rPr>
  </w:style>
  <w:style w:type="character" w:styleId="1141">
    <w:name w:val="WW8Num7z1"/>
    <w:next w:val="1141"/>
    <w:link w:val="1128"/>
    <w:rPr>
      <w:rFonts w:ascii="Times New Roman" w:hAnsi="Times New Roman" w:cs="Times New Roman"/>
      <w:b w:val="0"/>
      <w:position w:val="0"/>
      <w:sz w:val="28"/>
      <w:szCs w:val="28"/>
      <w:vertAlign w:val="baseline"/>
    </w:rPr>
  </w:style>
  <w:style w:type="character" w:styleId="1142">
    <w:name w:val="WW8Num7z2"/>
    <w:next w:val="1142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143">
    <w:name w:val="WW8Num7z3"/>
    <w:next w:val="1143"/>
    <w:link w:val="1128"/>
    <w:rPr>
      <w:rFonts w:ascii="Times New Roman" w:hAnsi="Times New Roman" w:cs="Times New Roman"/>
      <w:color w:val="000000"/>
      <w:sz w:val="28"/>
      <w:szCs w:val="28"/>
    </w:rPr>
  </w:style>
  <w:style w:type="character" w:styleId="1144">
    <w:name w:val="WW8Num7z4"/>
    <w:next w:val="1144"/>
    <w:link w:val="1128"/>
    <w:rPr>
      <w:color w:val="000000"/>
    </w:rPr>
  </w:style>
  <w:style w:type="character" w:styleId="1145">
    <w:name w:val="WW8Num7z5"/>
    <w:next w:val="1145"/>
    <w:link w:val="1128"/>
  </w:style>
  <w:style w:type="character" w:styleId="1146">
    <w:name w:val="WW8Num8z0"/>
    <w:next w:val="1146"/>
    <w:link w:val="1128"/>
    <w:rPr>
      <w:rFonts w:ascii="Times New Roman" w:hAnsi="Times New Roman" w:cs="Times New Roman"/>
      <w:b w:val="0"/>
    </w:rPr>
  </w:style>
  <w:style w:type="character" w:styleId="1147">
    <w:name w:val="WW8Num9z0"/>
    <w:next w:val="1147"/>
    <w:link w:val="1128"/>
    <w:rPr>
      <w:sz w:val="28"/>
      <w:szCs w:val="28"/>
    </w:rPr>
  </w:style>
  <w:style w:type="character" w:styleId="1148">
    <w:name w:val="WW8Num10z0"/>
    <w:next w:val="1148"/>
    <w:link w:val="1128"/>
    <w:rPr>
      <w:rFonts w:ascii="Times New Roman" w:hAnsi="Times New Roman" w:cs="Times New Roman"/>
      <w:sz w:val="28"/>
      <w:szCs w:val="28"/>
    </w:rPr>
  </w:style>
  <w:style w:type="character" w:styleId="1149">
    <w:name w:val="WW8Num10z1"/>
    <w:next w:val="1149"/>
    <w:link w:val="1128"/>
  </w:style>
  <w:style w:type="character" w:styleId="1150">
    <w:name w:val="WW8Num11z0"/>
    <w:next w:val="1150"/>
    <w:link w:val="1128"/>
    <w:rPr>
      <w:rFonts w:ascii="Symbol" w:hAnsi="Symbol" w:cs="Times New Roman"/>
      <w:color w:val="auto"/>
      <w:sz w:val="28"/>
      <w:szCs w:val="28"/>
      <w:lang w:val="ru-RU" w:eastAsia="zh-CN" w:bidi="ar-SA"/>
    </w:rPr>
  </w:style>
  <w:style w:type="character" w:styleId="1151">
    <w:name w:val="WW8Num12z0"/>
    <w:next w:val="1151"/>
    <w:link w:val="1128"/>
    <w:rPr>
      <w:rFonts w:ascii="Times New Roman" w:hAnsi="Times New Roman" w:cs="Times New Roman"/>
    </w:rPr>
  </w:style>
  <w:style w:type="character" w:styleId="1152">
    <w:name w:val="WW8Num13z0"/>
    <w:next w:val="1152"/>
    <w:link w:val="1128"/>
    <w:rPr>
      <w:rFonts w:ascii="Times New Roman" w:hAnsi="Times New Roman" w:cs="Times New Roman"/>
    </w:rPr>
  </w:style>
  <w:style w:type="character" w:styleId="1153">
    <w:name w:val="WW8Num14z0"/>
    <w:next w:val="1153"/>
    <w:link w:val="1128"/>
    <w:rPr>
      <w:rFonts w:ascii="Times New Roman" w:hAnsi="Times New Roman" w:cs="Times New Roman"/>
      <w:sz w:val="28"/>
      <w:szCs w:val="28"/>
    </w:rPr>
  </w:style>
  <w:style w:type="character" w:styleId="1154">
    <w:name w:val="WW8Num14z1"/>
    <w:next w:val="1154"/>
    <w:link w:val="1128"/>
  </w:style>
  <w:style w:type="character" w:styleId="1155">
    <w:name w:val="WW8Num15z0"/>
    <w:next w:val="1155"/>
    <w:link w:val="1128"/>
    <w:rPr>
      <w:rFonts w:ascii="Times New Roman" w:hAnsi="Times New Roman" w:cs="Times New Roman"/>
    </w:rPr>
  </w:style>
  <w:style w:type="character" w:styleId="1156">
    <w:name w:val="WW8Num16z0"/>
    <w:next w:val="1156"/>
    <w:link w:val="1128"/>
    <w:rPr>
      <w:rFonts w:ascii="Times New Roman" w:hAnsi="Times New Roman" w:cs="Times New Roman"/>
    </w:rPr>
  </w:style>
  <w:style w:type="character" w:styleId="1157">
    <w:name w:val="WW8Num17z0"/>
    <w:next w:val="1157"/>
    <w:link w:val="1128"/>
    <w:rPr>
      <w:rFonts w:ascii="Symbol" w:hAnsi="Symbol" w:cs="Times New Roman"/>
    </w:rPr>
  </w:style>
  <w:style w:type="character" w:styleId="1158">
    <w:name w:val="WW8Num17z1"/>
    <w:next w:val="1158"/>
    <w:link w:val="1128"/>
    <w:rPr>
      <w:rFonts w:ascii="Courier New" w:hAnsi="Courier New" w:cs="Courier New"/>
    </w:rPr>
  </w:style>
  <w:style w:type="character" w:styleId="1159">
    <w:name w:val="WW8Num17z2"/>
    <w:next w:val="1159"/>
    <w:link w:val="1128"/>
    <w:rPr>
      <w:rFonts w:ascii="Wingdings" w:hAnsi="Wingdings" w:cs="Wingdings"/>
    </w:rPr>
  </w:style>
  <w:style w:type="character" w:styleId="1160">
    <w:name w:val="WW8Num17z3"/>
    <w:next w:val="1160"/>
    <w:link w:val="1128"/>
    <w:rPr>
      <w:rFonts w:ascii="Symbol" w:hAnsi="Symbol" w:cs="Symbol"/>
    </w:rPr>
  </w:style>
  <w:style w:type="character" w:styleId="1161">
    <w:name w:val="WW8Num16z1"/>
    <w:next w:val="1161"/>
    <w:link w:val="1128"/>
    <w:rPr>
      <w:rFonts w:ascii="Courier New" w:hAnsi="Courier New" w:cs="Courier New"/>
    </w:rPr>
  </w:style>
  <w:style w:type="character" w:styleId="1162">
    <w:name w:val="WW8Num16z2"/>
    <w:next w:val="1162"/>
    <w:link w:val="1128"/>
    <w:rPr>
      <w:rFonts w:ascii="Wingdings" w:hAnsi="Wingdings" w:cs="Wingdings"/>
    </w:rPr>
  </w:style>
  <w:style w:type="character" w:styleId="1163">
    <w:name w:val="WW8Num16z3"/>
    <w:next w:val="1163"/>
    <w:link w:val="1128"/>
    <w:rPr>
      <w:rFonts w:ascii="Symbol" w:hAnsi="Symbol" w:cs="Symbol"/>
    </w:rPr>
  </w:style>
  <w:style w:type="character" w:styleId="1164">
    <w:name w:val="WW8Num5z2"/>
    <w:next w:val="1164"/>
    <w:link w:val="1128"/>
    <w:rPr>
      <w:rFonts w:ascii="Times New Roman" w:hAnsi="Times New Roman" w:cs="Times New Roman"/>
      <w:sz w:val="24"/>
    </w:rPr>
  </w:style>
  <w:style w:type="character" w:styleId="1165">
    <w:name w:val="WW8Num8z1"/>
    <w:next w:val="1165"/>
    <w:link w:val="1128"/>
  </w:style>
  <w:style w:type="character" w:styleId="1166">
    <w:name w:val="WW8Num8z3"/>
    <w:next w:val="1166"/>
    <w:link w:val="1128"/>
    <w:rPr>
      <w:rFonts w:ascii="Symbol" w:hAnsi="Symbol" w:cs="Symbol"/>
      <w:color w:val="000000"/>
    </w:rPr>
  </w:style>
  <w:style w:type="character" w:styleId="1167">
    <w:name w:val="WW8Num13z1"/>
    <w:next w:val="1167"/>
    <w:link w:val="1128"/>
    <w:rPr>
      <w:rFonts w:ascii="Times New Roman" w:hAnsi="Times New Roman" w:cs="Times New Roman"/>
      <w:b w:val="0"/>
      <w:position w:val="0"/>
      <w:sz w:val="28"/>
      <w:szCs w:val="28"/>
      <w:vertAlign w:val="baseline"/>
    </w:rPr>
  </w:style>
  <w:style w:type="character" w:styleId="1168">
    <w:name w:val="WW8Num13z2"/>
    <w:next w:val="1168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169">
    <w:name w:val="WW8Num13z3"/>
    <w:next w:val="1169"/>
    <w:link w:val="1128"/>
    <w:rPr>
      <w:rFonts w:ascii="Times New Roman" w:hAnsi="Times New Roman" w:cs="Times New Roman"/>
      <w:color w:val="000000"/>
      <w:sz w:val="28"/>
      <w:szCs w:val="28"/>
    </w:rPr>
  </w:style>
  <w:style w:type="character" w:styleId="1170">
    <w:name w:val="WW8Num13z4"/>
    <w:next w:val="1170"/>
    <w:link w:val="1128"/>
    <w:rPr>
      <w:color w:val="000000"/>
    </w:rPr>
  </w:style>
  <w:style w:type="character" w:styleId="1171">
    <w:name w:val="WW8Num13z5"/>
    <w:next w:val="1171"/>
    <w:link w:val="1128"/>
  </w:style>
  <w:style w:type="character" w:styleId="1172">
    <w:name w:val="WW8Num18z0"/>
    <w:next w:val="1172"/>
    <w:link w:val="1128"/>
    <w:rPr>
      <w:color w:val="000000"/>
    </w:rPr>
  </w:style>
  <w:style w:type="character" w:styleId="1173">
    <w:name w:val="WW8Num19z0"/>
    <w:next w:val="1173"/>
    <w:link w:val="1128"/>
    <w:rPr>
      <w:rFonts w:ascii="Times New Roman" w:hAnsi="Times New Roman" w:cs="Times New Roman"/>
    </w:rPr>
  </w:style>
  <w:style w:type="character" w:styleId="1174">
    <w:name w:val="WW8Num20z0"/>
    <w:next w:val="1174"/>
    <w:link w:val="1128"/>
    <w:rPr>
      <w:rFonts w:ascii="Times New Roman" w:hAnsi="Times New Roman" w:cs="Times New Roman"/>
    </w:rPr>
  </w:style>
  <w:style w:type="character" w:styleId="1175">
    <w:name w:val="WW8Num22z0"/>
    <w:next w:val="1175"/>
    <w:link w:val="1128"/>
    <w:rPr>
      <w:rFonts w:ascii="Times New Roman" w:hAnsi="Times New Roman" w:cs="Times New Roman"/>
    </w:rPr>
  </w:style>
  <w:style w:type="character" w:styleId="1176">
    <w:name w:val="WW8Num22z1"/>
    <w:next w:val="1176"/>
    <w:link w:val="1128"/>
    <w:rPr>
      <w:rFonts w:ascii="Courier New" w:hAnsi="Courier New" w:cs="Courier New"/>
    </w:rPr>
  </w:style>
  <w:style w:type="character" w:styleId="1177">
    <w:name w:val="WW8Num22z2"/>
    <w:next w:val="1177"/>
    <w:link w:val="1128"/>
    <w:rPr>
      <w:rFonts w:ascii="Wingdings" w:hAnsi="Wingdings" w:cs="Wingdings"/>
    </w:rPr>
  </w:style>
  <w:style w:type="character" w:styleId="1178">
    <w:name w:val="WW8Num22z3"/>
    <w:next w:val="1178"/>
    <w:link w:val="1128"/>
    <w:rPr>
      <w:rFonts w:ascii="Symbol" w:hAnsi="Symbol" w:cs="Symbol"/>
    </w:rPr>
  </w:style>
  <w:style w:type="character" w:styleId="1179">
    <w:name w:val="WW8Num23z0"/>
    <w:next w:val="1179"/>
    <w:link w:val="1128"/>
    <w:rPr>
      <w:rFonts w:ascii="Times New Roman" w:hAnsi="Times New Roman" w:cs="Times New Roman"/>
    </w:rPr>
  </w:style>
  <w:style w:type="character" w:styleId="1180">
    <w:name w:val="WW8Num23z1"/>
    <w:next w:val="1180"/>
    <w:link w:val="1128"/>
    <w:rPr>
      <w:rFonts w:ascii="Courier New" w:hAnsi="Courier New" w:cs="Courier New"/>
    </w:rPr>
  </w:style>
  <w:style w:type="character" w:styleId="1181">
    <w:name w:val="WW8Num23z2"/>
    <w:next w:val="1181"/>
    <w:link w:val="1128"/>
    <w:rPr>
      <w:rFonts w:ascii="Wingdings" w:hAnsi="Wingdings" w:cs="Wingdings"/>
    </w:rPr>
  </w:style>
  <w:style w:type="character" w:styleId="1182">
    <w:name w:val="WW8Num23z3"/>
    <w:next w:val="1182"/>
    <w:link w:val="1128"/>
    <w:rPr>
      <w:rFonts w:ascii="Symbol" w:hAnsi="Symbol" w:cs="Symbol"/>
    </w:rPr>
  </w:style>
  <w:style w:type="character" w:styleId="1183">
    <w:name w:val="WW8Num24z0"/>
    <w:next w:val="1183"/>
    <w:link w:val="1128"/>
    <w:rPr>
      <w:rFonts w:ascii="Times New Roman" w:hAnsi="Times New Roman" w:cs="Times New Roman"/>
    </w:rPr>
  </w:style>
  <w:style w:type="character" w:styleId="1184">
    <w:name w:val="WW8Num24z1"/>
    <w:next w:val="1184"/>
    <w:link w:val="1128"/>
    <w:rPr>
      <w:rFonts w:ascii="Courier New" w:hAnsi="Courier New" w:cs="Courier New"/>
    </w:rPr>
  </w:style>
  <w:style w:type="character" w:styleId="1185">
    <w:name w:val="WW8Num24z2"/>
    <w:next w:val="1185"/>
    <w:link w:val="1128"/>
    <w:rPr>
      <w:rFonts w:ascii="Wingdings" w:hAnsi="Wingdings" w:cs="Wingdings"/>
    </w:rPr>
  </w:style>
  <w:style w:type="character" w:styleId="1186">
    <w:name w:val="WW8Num24z3"/>
    <w:next w:val="1186"/>
    <w:link w:val="1128"/>
    <w:rPr>
      <w:rFonts w:ascii="Symbol" w:hAnsi="Symbol" w:cs="Symbol"/>
    </w:rPr>
  </w:style>
  <w:style w:type="character" w:styleId="1187">
    <w:name w:val="WW8Num25z0"/>
    <w:next w:val="1187"/>
    <w:link w:val="1128"/>
    <w:rPr>
      <w:rFonts w:ascii="Times New Roman" w:hAnsi="Times New Roman" w:cs="Times New Roman"/>
    </w:rPr>
  </w:style>
  <w:style w:type="character" w:styleId="1188">
    <w:name w:val="WW8Num25z1"/>
    <w:next w:val="1188"/>
    <w:link w:val="1128"/>
    <w:rPr>
      <w:rFonts w:ascii="Courier New" w:hAnsi="Courier New" w:cs="Courier New"/>
    </w:rPr>
  </w:style>
  <w:style w:type="character" w:styleId="1189">
    <w:name w:val="WW8Num25z2"/>
    <w:next w:val="1189"/>
    <w:link w:val="1128"/>
    <w:rPr>
      <w:rFonts w:ascii="Wingdings" w:hAnsi="Wingdings" w:cs="Wingdings"/>
    </w:rPr>
  </w:style>
  <w:style w:type="character" w:styleId="1190">
    <w:name w:val="WW8Num25z3"/>
    <w:next w:val="1190"/>
    <w:link w:val="1128"/>
    <w:rPr>
      <w:rFonts w:ascii="Symbol" w:hAnsi="Symbol" w:cs="Symbol"/>
    </w:rPr>
  </w:style>
  <w:style w:type="character" w:styleId="1191">
    <w:name w:val="WW8Num26z0"/>
    <w:next w:val="1191"/>
    <w:link w:val="1128"/>
    <w:rPr>
      <w:rFonts w:ascii="Times New Roman" w:hAnsi="Times New Roman" w:cs="Times New Roman"/>
    </w:rPr>
  </w:style>
  <w:style w:type="character" w:styleId="1192">
    <w:name w:val="WW8Num26z1"/>
    <w:next w:val="1192"/>
    <w:link w:val="1128"/>
    <w:rPr>
      <w:rFonts w:ascii="Courier New" w:hAnsi="Courier New" w:cs="Courier New"/>
    </w:rPr>
  </w:style>
  <w:style w:type="character" w:styleId="1193">
    <w:name w:val="WW8Num26z2"/>
    <w:next w:val="1193"/>
    <w:link w:val="1128"/>
    <w:rPr>
      <w:rFonts w:ascii="Wingdings" w:hAnsi="Wingdings" w:cs="Wingdings"/>
    </w:rPr>
  </w:style>
  <w:style w:type="character" w:styleId="1194">
    <w:name w:val="WW8Num26z3"/>
    <w:next w:val="1194"/>
    <w:link w:val="1128"/>
    <w:rPr>
      <w:rFonts w:ascii="Symbol" w:hAnsi="Symbol" w:cs="Symbol"/>
    </w:rPr>
  </w:style>
  <w:style w:type="character" w:styleId="1195">
    <w:name w:val="WW8Num27z0"/>
    <w:next w:val="1195"/>
    <w:link w:val="1128"/>
    <w:rPr>
      <w:rFonts w:ascii="Times New Roman" w:hAnsi="Times New Roman" w:cs="Times New Roman"/>
    </w:rPr>
  </w:style>
  <w:style w:type="character" w:styleId="1196">
    <w:name w:val="WW8Num27z1"/>
    <w:next w:val="1196"/>
    <w:link w:val="1128"/>
    <w:rPr>
      <w:rFonts w:ascii="Courier New" w:hAnsi="Courier New" w:cs="Courier New"/>
    </w:rPr>
  </w:style>
  <w:style w:type="character" w:styleId="1197">
    <w:name w:val="WW8Num27z2"/>
    <w:next w:val="1197"/>
    <w:link w:val="1128"/>
    <w:rPr>
      <w:rFonts w:ascii="Wingdings" w:hAnsi="Wingdings" w:cs="Wingdings"/>
    </w:rPr>
  </w:style>
  <w:style w:type="character" w:styleId="1198">
    <w:name w:val="WW8Num27z3"/>
    <w:next w:val="1198"/>
    <w:link w:val="1128"/>
    <w:rPr>
      <w:rFonts w:ascii="Symbol" w:hAnsi="Symbol" w:cs="Symbol"/>
    </w:rPr>
  </w:style>
  <w:style w:type="character" w:styleId="1199">
    <w:name w:val="WW8Num28z0"/>
    <w:next w:val="1199"/>
    <w:link w:val="1128"/>
    <w:rPr>
      <w:rFonts w:ascii="Times New Roman" w:hAnsi="Times New Roman" w:cs="Times New Roman"/>
    </w:rPr>
  </w:style>
  <w:style w:type="character" w:styleId="1200">
    <w:name w:val="WW8Num28z1"/>
    <w:next w:val="1200"/>
    <w:link w:val="1128"/>
    <w:rPr>
      <w:rFonts w:ascii="Courier New" w:hAnsi="Courier New" w:cs="Courier New"/>
    </w:rPr>
  </w:style>
  <w:style w:type="character" w:styleId="1201">
    <w:name w:val="WW8Num28z2"/>
    <w:next w:val="1201"/>
    <w:link w:val="1128"/>
    <w:rPr>
      <w:rFonts w:ascii="Wingdings" w:hAnsi="Wingdings" w:cs="Wingdings"/>
    </w:rPr>
  </w:style>
  <w:style w:type="character" w:styleId="1202">
    <w:name w:val="WW8Num28z3"/>
    <w:next w:val="1202"/>
    <w:link w:val="1128"/>
    <w:rPr>
      <w:rFonts w:ascii="Symbol" w:hAnsi="Symbol" w:cs="Symbol"/>
    </w:rPr>
  </w:style>
  <w:style w:type="character" w:styleId="1203">
    <w:name w:val="WW8Num29z0"/>
    <w:next w:val="1203"/>
    <w:link w:val="1128"/>
  </w:style>
  <w:style w:type="character" w:styleId="1204">
    <w:name w:val="WW8Num20z1"/>
    <w:next w:val="1204"/>
    <w:link w:val="1128"/>
    <w:rPr>
      <w:rFonts w:ascii="Times New Roman" w:hAnsi="Times New Roman" w:cs="Times New Roman"/>
      <w:b w:val="0"/>
      <w:position w:val="0"/>
      <w:sz w:val="28"/>
      <w:szCs w:val="28"/>
      <w:vertAlign w:val="baseline"/>
    </w:rPr>
  </w:style>
  <w:style w:type="character" w:styleId="1205">
    <w:name w:val="WW8Num20z2"/>
    <w:next w:val="1205"/>
    <w:link w:val="1128"/>
    <w:rPr>
      <w:position w:val="0"/>
      <w:sz w:val="28"/>
      <w:szCs w:val="28"/>
      <w:vertAlign w:val="baseline"/>
    </w:rPr>
  </w:style>
  <w:style w:type="character" w:styleId="1206">
    <w:name w:val="WW8Num20z3"/>
    <w:next w:val="1206"/>
    <w:link w:val="1128"/>
    <w:rPr>
      <w:color w:val="000000"/>
    </w:rPr>
  </w:style>
  <w:style w:type="character" w:styleId="1207">
    <w:name w:val="WW8Num20z5"/>
    <w:next w:val="1207"/>
    <w:link w:val="1128"/>
  </w:style>
  <w:style w:type="character" w:styleId="1208">
    <w:name w:val="WW8Num21z0"/>
    <w:next w:val="1208"/>
    <w:link w:val="1128"/>
    <w:rPr>
      <w:rFonts w:ascii="Times New Roman" w:hAnsi="Times New Roman" w:eastAsia="Times New Roman" w:cs="Times New Roman"/>
    </w:rPr>
  </w:style>
  <w:style w:type="character" w:styleId="1209">
    <w:name w:val="WW8Num21z1"/>
    <w:next w:val="1209"/>
    <w:link w:val="1128"/>
    <w:rPr>
      <w:rFonts w:ascii="Courier New" w:hAnsi="Courier New" w:cs="Courier New"/>
    </w:rPr>
  </w:style>
  <w:style w:type="character" w:styleId="1210">
    <w:name w:val="WW8Num21z2"/>
    <w:next w:val="1210"/>
    <w:link w:val="1128"/>
    <w:rPr>
      <w:rFonts w:ascii="Wingdings" w:hAnsi="Wingdings" w:cs="Wingdings"/>
    </w:rPr>
  </w:style>
  <w:style w:type="character" w:styleId="1211">
    <w:name w:val="WW8Num21z3"/>
    <w:next w:val="1211"/>
    <w:link w:val="1128"/>
    <w:rPr>
      <w:rFonts w:ascii="Symbol" w:hAnsi="Symbol" w:cs="Symbol"/>
    </w:rPr>
  </w:style>
  <w:style w:type="character" w:styleId="1212">
    <w:name w:val="WW8Num14z2"/>
    <w:next w:val="1212"/>
    <w:link w:val="1128"/>
    <w:rPr>
      <w:position w:val="0"/>
      <w:sz w:val="28"/>
      <w:szCs w:val="28"/>
      <w:vertAlign w:val="baseline"/>
    </w:rPr>
  </w:style>
  <w:style w:type="character" w:styleId="1213">
    <w:name w:val="WW8Num14z3"/>
    <w:next w:val="1213"/>
    <w:link w:val="1128"/>
    <w:rPr>
      <w:color w:val="000000"/>
    </w:rPr>
  </w:style>
  <w:style w:type="character" w:styleId="1214">
    <w:name w:val="WW8Num14z5"/>
    <w:next w:val="1214"/>
    <w:link w:val="1128"/>
  </w:style>
  <w:style w:type="character" w:styleId="1215">
    <w:name w:val="WW8Num18z1"/>
    <w:next w:val="1215"/>
    <w:link w:val="1128"/>
    <w:rPr>
      <w:sz w:val="24"/>
      <w:szCs w:val="24"/>
    </w:rPr>
  </w:style>
  <w:style w:type="character" w:styleId="1216">
    <w:name w:val="WW8Num19z1"/>
    <w:next w:val="1216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17">
    <w:name w:val="WW8Num29z1"/>
    <w:next w:val="1217"/>
    <w:link w:val="1128"/>
    <w:rPr>
      <w:rFonts w:ascii="Courier New" w:hAnsi="Courier New" w:cs="Courier New"/>
    </w:rPr>
  </w:style>
  <w:style w:type="character" w:styleId="1218">
    <w:name w:val="WW8Num29z2"/>
    <w:next w:val="1218"/>
    <w:link w:val="1128"/>
    <w:rPr>
      <w:rFonts w:ascii="Wingdings" w:hAnsi="Wingdings" w:cs="Wingdings"/>
    </w:rPr>
  </w:style>
  <w:style w:type="character" w:styleId="1219">
    <w:name w:val="WW8Num30z0"/>
    <w:next w:val="1219"/>
    <w:link w:val="1128"/>
    <w:rPr>
      <w:color w:val="000000"/>
    </w:rPr>
  </w:style>
  <w:style w:type="character" w:styleId="1220">
    <w:name w:val="WW8Num31z0"/>
    <w:next w:val="1220"/>
    <w:link w:val="1128"/>
    <w:rPr>
      <w:rFonts w:ascii="Times New Roman" w:hAnsi="Times New Roman" w:eastAsia="Times New Roman" w:cs="Times New Roman"/>
    </w:rPr>
  </w:style>
  <w:style w:type="character" w:styleId="1221">
    <w:name w:val="WW8Num31z1"/>
    <w:next w:val="1221"/>
    <w:link w:val="1128"/>
    <w:rPr>
      <w:rFonts w:ascii="Courier New" w:hAnsi="Courier New" w:cs="Courier New"/>
    </w:rPr>
  </w:style>
  <w:style w:type="character" w:styleId="1222">
    <w:name w:val="WW8Num31z2"/>
    <w:next w:val="1222"/>
    <w:link w:val="1128"/>
    <w:rPr>
      <w:rFonts w:ascii="Wingdings" w:hAnsi="Wingdings" w:cs="Wingdings"/>
    </w:rPr>
  </w:style>
  <w:style w:type="character" w:styleId="1223">
    <w:name w:val="WW8Num31z3"/>
    <w:next w:val="1223"/>
    <w:link w:val="1128"/>
    <w:rPr>
      <w:rFonts w:ascii="Symbol" w:hAnsi="Symbol" w:cs="Symbol"/>
    </w:rPr>
  </w:style>
  <w:style w:type="character" w:styleId="1224">
    <w:name w:val="WW8Num32z0"/>
    <w:next w:val="1224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25">
    <w:name w:val="WW8Num33z0"/>
    <w:next w:val="1225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26">
    <w:name w:val="WW8Num34z0"/>
    <w:next w:val="1226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27">
    <w:name w:val="WW8Num35z0"/>
    <w:next w:val="1227"/>
    <w:link w:val="1128"/>
    <w:rPr>
      <w:rFonts w:ascii="Times New Roman" w:hAnsi="Times New Roman" w:cs="Times New Roman"/>
      <w:caps/>
      <w:position w:val="0"/>
      <w:sz w:val="28"/>
      <w:vertAlign w:val="baseline"/>
    </w:rPr>
  </w:style>
  <w:style w:type="character" w:styleId="1228">
    <w:name w:val="WW8Num35z1"/>
    <w:next w:val="1228"/>
    <w:link w:val="1128"/>
    <w:rPr>
      <w:rFonts w:ascii="Times New Roman" w:hAnsi="Times New Roman" w:cs="Times New Roman"/>
      <w:b w:val="0"/>
      <w:position w:val="0"/>
      <w:sz w:val="28"/>
      <w:szCs w:val="28"/>
      <w:vertAlign w:val="baseline"/>
    </w:rPr>
  </w:style>
  <w:style w:type="character" w:styleId="1229">
    <w:name w:val="WW8Num35z2"/>
    <w:next w:val="1229"/>
    <w:link w:val="1128"/>
    <w:rPr>
      <w:position w:val="0"/>
      <w:sz w:val="28"/>
      <w:szCs w:val="28"/>
      <w:vertAlign w:val="baseline"/>
    </w:rPr>
  </w:style>
  <w:style w:type="character" w:styleId="1230">
    <w:name w:val="WW8Num35z3"/>
    <w:next w:val="1230"/>
    <w:link w:val="1128"/>
    <w:rPr>
      <w:color w:val="000000"/>
    </w:rPr>
  </w:style>
  <w:style w:type="character" w:styleId="1231">
    <w:name w:val="WW8Num35z5"/>
    <w:next w:val="1231"/>
    <w:link w:val="1128"/>
  </w:style>
  <w:style w:type="character" w:styleId="1232">
    <w:name w:val="WW8Num36z0"/>
    <w:next w:val="1232"/>
    <w:link w:val="1128"/>
    <w:rPr>
      <w:sz w:val="28"/>
      <w:szCs w:val="28"/>
    </w:rPr>
  </w:style>
  <w:style w:type="character" w:styleId="1233">
    <w:name w:val="WW8Num37z0"/>
    <w:next w:val="1233"/>
    <w:link w:val="1128"/>
    <w:rPr>
      <w:sz w:val="28"/>
      <w:szCs w:val="28"/>
    </w:rPr>
  </w:style>
  <w:style w:type="character" w:styleId="1234">
    <w:name w:val="WW8Num38z0"/>
    <w:next w:val="1234"/>
    <w:link w:val="1128"/>
    <w:rPr>
      <w:color w:val="000000"/>
    </w:rPr>
  </w:style>
  <w:style w:type="character" w:styleId="1235">
    <w:name w:val="WW8Num39z0"/>
    <w:next w:val="1235"/>
    <w:link w:val="1128"/>
    <w:rPr>
      <w:rFonts w:ascii="Times New Roman" w:hAnsi="Times New Roman" w:eastAsia="Times New Roman" w:cs="Times New Roman"/>
    </w:rPr>
  </w:style>
  <w:style w:type="character" w:styleId="1236">
    <w:name w:val="WW8Num39z1"/>
    <w:next w:val="1236"/>
    <w:link w:val="1128"/>
    <w:rPr>
      <w:rFonts w:ascii="Courier New" w:hAnsi="Courier New" w:cs="Courier New"/>
    </w:rPr>
  </w:style>
  <w:style w:type="character" w:styleId="1237">
    <w:name w:val="WW8Num39z2"/>
    <w:next w:val="1237"/>
    <w:link w:val="1128"/>
    <w:rPr>
      <w:rFonts w:ascii="Wingdings" w:hAnsi="Wingdings" w:cs="Wingdings"/>
    </w:rPr>
  </w:style>
  <w:style w:type="character" w:styleId="1238">
    <w:name w:val="WW8Num39z3"/>
    <w:next w:val="1238"/>
    <w:link w:val="1128"/>
    <w:rPr>
      <w:rFonts w:ascii="Symbol" w:hAnsi="Symbol" w:cs="Symbol"/>
    </w:rPr>
  </w:style>
  <w:style w:type="character" w:styleId="1239">
    <w:name w:val="WW8Num40z0"/>
    <w:next w:val="1239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40">
    <w:name w:val="WW8Num41z0"/>
    <w:next w:val="1240"/>
    <w:link w:val="1128"/>
    <w:rPr>
      <w:rFonts w:ascii="Times New Roman" w:hAnsi="Times New Roman" w:cs="Times New Roman"/>
      <w:caps/>
      <w:position w:val="0"/>
      <w:sz w:val="28"/>
      <w:vertAlign w:val="baseline"/>
    </w:rPr>
  </w:style>
  <w:style w:type="character" w:styleId="1241">
    <w:name w:val="WW8Num41z1"/>
    <w:next w:val="1241"/>
    <w:link w:val="1128"/>
    <w:rPr>
      <w:rFonts w:ascii="Times New Roman" w:hAnsi="Times New Roman" w:cs="Times New Roman"/>
      <w:b w:val="0"/>
      <w:position w:val="0"/>
      <w:sz w:val="28"/>
      <w:szCs w:val="28"/>
      <w:vertAlign w:val="baseline"/>
    </w:rPr>
  </w:style>
  <w:style w:type="character" w:styleId="1242">
    <w:name w:val="WW8Num41z2"/>
    <w:next w:val="1242"/>
    <w:link w:val="1128"/>
    <w:rPr>
      <w:position w:val="0"/>
      <w:sz w:val="28"/>
      <w:szCs w:val="28"/>
      <w:vertAlign w:val="baseline"/>
    </w:rPr>
  </w:style>
  <w:style w:type="character" w:styleId="1243">
    <w:name w:val="WW8Num41z3"/>
    <w:next w:val="1243"/>
    <w:link w:val="1128"/>
    <w:rPr>
      <w:color w:val="000000"/>
    </w:rPr>
  </w:style>
  <w:style w:type="character" w:styleId="1244">
    <w:name w:val="WW8Num41z5"/>
    <w:next w:val="1244"/>
    <w:link w:val="1128"/>
  </w:style>
  <w:style w:type="character" w:styleId="1245">
    <w:name w:val="WW8Num42z0"/>
    <w:next w:val="1245"/>
    <w:link w:val="1128"/>
    <w:rPr>
      <w:rFonts w:ascii="Times New Roman" w:hAnsi="Times New Roman" w:eastAsia="Times New Roman" w:cs="Times New Roman"/>
    </w:rPr>
  </w:style>
  <w:style w:type="character" w:styleId="1246">
    <w:name w:val="WW8Num42z1"/>
    <w:next w:val="1246"/>
    <w:link w:val="1128"/>
    <w:rPr>
      <w:rFonts w:ascii="Courier New" w:hAnsi="Courier New" w:cs="Courier New"/>
    </w:rPr>
  </w:style>
  <w:style w:type="character" w:styleId="1247">
    <w:name w:val="WW8Num42z2"/>
    <w:next w:val="1247"/>
    <w:link w:val="1128"/>
    <w:rPr>
      <w:rFonts w:ascii="Wingdings" w:hAnsi="Wingdings" w:cs="Wingdings"/>
    </w:rPr>
  </w:style>
  <w:style w:type="character" w:styleId="1248">
    <w:name w:val="WW8Num42z3"/>
    <w:next w:val="1248"/>
    <w:link w:val="1128"/>
    <w:rPr>
      <w:rFonts w:ascii="Symbol" w:hAnsi="Symbol" w:cs="Symbol"/>
    </w:rPr>
  </w:style>
  <w:style w:type="character" w:styleId="1249">
    <w:name w:val="WW8Num43z0"/>
    <w:next w:val="1249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50">
    <w:name w:val="WW8Num12z1"/>
    <w:next w:val="1250"/>
    <w:link w:val="1128"/>
    <w:rPr>
      <w:rFonts w:ascii="Times New Roman" w:hAnsi="Times New Roman" w:cs="Times New Roman"/>
      <w:position w:val="0"/>
      <w:sz w:val="28"/>
      <w:szCs w:val="28"/>
      <w:vertAlign w:val="baseline"/>
    </w:rPr>
  </w:style>
  <w:style w:type="character" w:styleId="1251">
    <w:name w:val="WW8Num15z2"/>
    <w:next w:val="1251"/>
    <w:link w:val="1128"/>
  </w:style>
  <w:style w:type="character" w:styleId="1252">
    <w:name w:val="WW8Num15z3"/>
    <w:next w:val="1252"/>
    <w:link w:val="1128"/>
    <w:rPr>
      <w:color w:val="000000"/>
    </w:rPr>
  </w:style>
  <w:style w:type="character" w:styleId="1253">
    <w:name w:val="WW8Num9z1"/>
    <w:next w:val="1253"/>
    <w:link w:val="1128"/>
  </w:style>
  <w:style w:type="character" w:styleId="1254">
    <w:name w:val="WW8Num9z3"/>
    <w:next w:val="1254"/>
    <w:link w:val="1128"/>
    <w:rPr>
      <w:rFonts w:ascii="Symbol" w:hAnsi="Symbol" w:cs="Symbol"/>
      <w:color w:val="000000"/>
    </w:rPr>
  </w:style>
  <w:style w:type="character" w:styleId="1255">
    <w:name w:val="WW8Num2z0"/>
    <w:next w:val="1255"/>
    <w:link w:val="1128"/>
    <w:rPr>
      <w:rFonts w:ascii="Symbol" w:hAnsi="Symbol" w:cs="Symbol"/>
    </w:rPr>
  </w:style>
  <w:style w:type="character" w:styleId="1256">
    <w:name w:val="WW8Num3z1"/>
    <w:next w:val="1256"/>
    <w:link w:val="1128"/>
    <w:rPr>
      <w:i w:val="0"/>
      <w:u w:val="none"/>
    </w:rPr>
  </w:style>
  <w:style w:type="character" w:styleId="1257">
    <w:name w:val="WW8Num4z1"/>
    <w:next w:val="1257"/>
    <w:link w:val="1128"/>
    <w:rPr>
      <w:sz w:val="28"/>
      <w:szCs w:val="28"/>
    </w:rPr>
  </w:style>
  <w:style w:type="character" w:styleId="1258">
    <w:name w:val="WW8Num8z4"/>
    <w:next w:val="1258"/>
    <w:link w:val="1128"/>
    <w:rPr>
      <w:rFonts w:ascii="Symbol" w:hAnsi="Symbol" w:cs="Symbol"/>
      <w:color w:val="000000"/>
    </w:rPr>
  </w:style>
  <w:style w:type="character" w:styleId="1259">
    <w:name w:val="WW8Num19z2"/>
    <w:next w:val="1259"/>
    <w:link w:val="1128"/>
    <w:rPr>
      <w:rFonts w:ascii="Wingdings" w:hAnsi="Wingdings" w:cs="Wingdings"/>
    </w:rPr>
  </w:style>
  <w:style w:type="character" w:styleId="1260">
    <w:name w:val="WW8Num19z3"/>
    <w:next w:val="1260"/>
    <w:link w:val="1128"/>
    <w:rPr>
      <w:rFonts w:ascii="Symbol" w:hAnsi="Symbol" w:cs="Symbol"/>
    </w:rPr>
  </w:style>
  <w:style w:type="character" w:styleId="1261">
    <w:name w:val="WW8Num25z4"/>
    <w:next w:val="1261"/>
    <w:link w:val="1128"/>
    <w:rPr>
      <w:rFonts w:ascii="Symbol" w:hAnsi="Symbol" w:cs="Symbol"/>
      <w:color w:val="000000"/>
    </w:rPr>
  </w:style>
  <w:style w:type="character" w:styleId="1262">
    <w:name w:val="Основной шрифт абзаца1"/>
    <w:next w:val="1262"/>
    <w:link w:val="1128"/>
  </w:style>
  <w:style w:type="character" w:styleId="1263">
    <w:name w:val="Знак примечания1"/>
    <w:next w:val="1263"/>
    <w:link w:val="1128"/>
    <w:rPr>
      <w:sz w:val="16"/>
      <w:szCs w:val="16"/>
    </w:rPr>
  </w:style>
  <w:style w:type="character" w:styleId="1264">
    <w:name w:val="Заголовок 1 Знак"/>
    <w:next w:val="1264"/>
    <w:link w:val="1128"/>
    <w:rPr>
      <w:rFonts w:ascii="Garamond" w:hAnsi="Garamond" w:cs="Garamond"/>
      <w:b/>
      <w:sz w:val="28"/>
      <w:lang w:val="ru-RU" w:bidi="ar-SA"/>
    </w:rPr>
  </w:style>
  <w:style w:type="character" w:styleId="1265">
    <w:name w:val="Гиперссылка"/>
    <w:next w:val="1265"/>
    <w:link w:val="1128"/>
    <w:uiPriority w:val="99"/>
    <w:rPr>
      <w:color w:val="0000ff"/>
      <w:u w:val="single"/>
    </w:rPr>
  </w:style>
  <w:style w:type="character" w:styleId="1266">
    <w:name w:val="Lead-in Emphasis"/>
    <w:next w:val="1266"/>
    <w:link w:val="1128"/>
    <w:rPr>
      <w:rFonts w:ascii="Arial" w:hAnsi="Arial" w:cs="Arial"/>
      <w:b/>
      <w:spacing w:val="-4"/>
    </w:rPr>
  </w:style>
  <w:style w:type="character" w:styleId="1267">
    <w:name w:val="Символ сноски"/>
    <w:next w:val="1267"/>
    <w:link w:val="1128"/>
    <w:rPr>
      <w:vertAlign w:val="superscript"/>
    </w:rPr>
  </w:style>
  <w:style w:type="character" w:styleId="1268">
    <w:name w:val="Текст таблицы Знак"/>
    <w:next w:val="1268"/>
    <w:link w:val="1128"/>
    <w:rPr>
      <w:rFonts w:ascii="Arial Narrow" w:hAnsi="Arial Narrow" w:cs="Arial Narrow"/>
      <w:lang w:val="ru-RU" w:bidi="ar-SA"/>
    </w:rPr>
  </w:style>
  <w:style w:type="character" w:styleId="1269">
    <w:name w:val="Маркированный список Знак"/>
    <w:next w:val="1269"/>
    <w:link w:val="1128"/>
    <w:rPr>
      <w:sz w:val="24"/>
      <w:szCs w:val="24"/>
      <w:lang w:val="ru-RU" w:bidi="ar-SA"/>
    </w:rPr>
  </w:style>
  <w:style w:type="character" w:styleId="1270">
    <w:name w:val="Номер страницы"/>
    <w:basedOn w:val="1262"/>
    <w:next w:val="1270"/>
    <w:link w:val="1128"/>
  </w:style>
  <w:style w:type="character" w:styleId="1271">
    <w:name w:val="Footnote Reference1"/>
    <w:next w:val="1271"/>
    <w:link w:val="1128"/>
    <w:rPr>
      <w:vertAlign w:val="superscript"/>
    </w:rPr>
  </w:style>
  <w:style w:type="character" w:styleId="1272">
    <w:name w:val="Символ концевой сноски"/>
    <w:next w:val="1272"/>
    <w:link w:val="1128"/>
    <w:rPr>
      <w:vertAlign w:val="superscript"/>
    </w:rPr>
  </w:style>
  <w:style w:type="character" w:styleId="1273">
    <w:name w:val="WW-Символ концевой сноски"/>
    <w:next w:val="1273"/>
    <w:link w:val="1128"/>
  </w:style>
  <w:style w:type="character" w:styleId="1274">
    <w:name w:val="Footnote Reference2"/>
    <w:next w:val="1274"/>
    <w:link w:val="1128"/>
    <w:rPr>
      <w:vertAlign w:val="superscript"/>
    </w:rPr>
  </w:style>
  <w:style w:type="character" w:styleId="1275">
    <w:name w:val="Символ нумерации"/>
    <w:next w:val="1275"/>
    <w:link w:val="1128"/>
    <w:rPr>
      <w:sz w:val="24"/>
      <w:szCs w:val="24"/>
    </w:rPr>
  </w:style>
  <w:style w:type="character" w:styleId="1276">
    <w:name w:val="Endnote Reference1"/>
    <w:next w:val="1276"/>
    <w:link w:val="1128"/>
    <w:rPr>
      <w:vertAlign w:val="superscript"/>
    </w:rPr>
  </w:style>
  <w:style w:type="character" w:styleId="1277">
    <w:name w:val="Маркеры"/>
    <w:next w:val="1277"/>
    <w:link w:val="1128"/>
    <w:rPr>
      <w:rFonts w:ascii="OpenSymbol" w:hAnsi="OpenSymbol" w:eastAsia="OpenSymbol" w:cs="OpenSymbol"/>
    </w:rPr>
  </w:style>
  <w:style w:type="character" w:styleId="1278">
    <w:name w:val="Footnote Reference3"/>
    <w:next w:val="1278"/>
    <w:link w:val="1128"/>
    <w:rPr>
      <w:vertAlign w:val="superscript"/>
    </w:rPr>
  </w:style>
  <w:style w:type="character" w:styleId="1279">
    <w:name w:val="Endnote Reference2"/>
    <w:next w:val="1279"/>
    <w:link w:val="1128"/>
    <w:rPr>
      <w:vertAlign w:val="superscript"/>
    </w:rPr>
  </w:style>
  <w:style w:type="character" w:styleId="1280">
    <w:name w:val="Footnote Reference4"/>
    <w:next w:val="1280"/>
    <w:link w:val="1128"/>
    <w:rPr>
      <w:vertAlign w:val="superscript"/>
    </w:rPr>
  </w:style>
  <w:style w:type="character" w:styleId="1281">
    <w:name w:val="Endnote Reference3"/>
    <w:next w:val="1281"/>
    <w:link w:val="1128"/>
    <w:rPr>
      <w:vertAlign w:val="superscript"/>
    </w:rPr>
  </w:style>
  <w:style w:type="character" w:styleId="1282">
    <w:name w:val="Знак сноски1"/>
    <w:next w:val="1282"/>
    <w:link w:val="1128"/>
    <w:rPr>
      <w:vertAlign w:val="superscript"/>
    </w:rPr>
  </w:style>
  <w:style w:type="character" w:styleId="1283">
    <w:name w:val="Знак концевой сноски1"/>
    <w:next w:val="1283"/>
    <w:link w:val="1128"/>
    <w:rPr>
      <w:vertAlign w:val="superscript"/>
    </w:rPr>
  </w:style>
  <w:style w:type="character" w:styleId="1284">
    <w:name w:val="Заголовок 3 Знак"/>
    <w:next w:val="1284"/>
    <w:link w:val="1128"/>
    <w:rPr>
      <w:rFonts w:ascii="Calibri Light" w:hAnsi="Calibri Light" w:eastAsia="Times New Roman" w:cs="Times New Roman"/>
      <w:b/>
      <w:bCs/>
      <w:sz w:val="26"/>
      <w:szCs w:val="26"/>
      <w:lang w:eastAsia="zh-CN"/>
    </w:rPr>
  </w:style>
  <w:style w:type="character" w:styleId="1285">
    <w:name w:val="Footnote Reference5"/>
    <w:next w:val="1285"/>
    <w:link w:val="1128"/>
    <w:rPr>
      <w:vertAlign w:val="superscript"/>
    </w:rPr>
  </w:style>
  <w:style w:type="character" w:styleId="1286">
    <w:name w:val="Ссылка указателя"/>
    <w:next w:val="1286"/>
    <w:link w:val="1128"/>
  </w:style>
  <w:style w:type="character" w:styleId="1287">
    <w:name w:val="Endnote Reference4"/>
    <w:next w:val="1287"/>
    <w:link w:val="1128"/>
    <w:rPr>
      <w:vertAlign w:val="superscript"/>
    </w:rPr>
  </w:style>
  <w:style w:type="character" w:styleId="1288">
    <w:name w:val="Footnote Reference6"/>
    <w:next w:val="1288"/>
    <w:link w:val="1128"/>
    <w:rPr>
      <w:vertAlign w:val="superscript"/>
    </w:rPr>
  </w:style>
  <w:style w:type="character" w:styleId="1289">
    <w:name w:val="Endnote Reference5"/>
    <w:next w:val="1289"/>
    <w:link w:val="1128"/>
    <w:rPr>
      <w:vertAlign w:val="superscript"/>
    </w:rPr>
  </w:style>
  <w:style w:type="character" w:styleId="1290">
    <w:name w:val="Знак сноски2"/>
    <w:next w:val="1290"/>
    <w:link w:val="1128"/>
    <w:rPr>
      <w:vertAlign w:val="superscript"/>
    </w:rPr>
  </w:style>
  <w:style w:type="character" w:styleId="1291">
    <w:name w:val="Знак концевой сноски2"/>
    <w:next w:val="1291"/>
    <w:link w:val="1128"/>
    <w:rPr>
      <w:vertAlign w:val="superscript"/>
    </w:rPr>
  </w:style>
  <w:style w:type="character" w:styleId="1292">
    <w:name w:val="Знак сноски3"/>
    <w:next w:val="1292"/>
    <w:link w:val="1128"/>
    <w:rPr>
      <w:vertAlign w:val="superscript"/>
    </w:rPr>
  </w:style>
  <w:style w:type="character" w:styleId="1293">
    <w:name w:val="Знак концевой сноски3"/>
    <w:next w:val="1293"/>
    <w:link w:val="1128"/>
    <w:rPr>
      <w:vertAlign w:val="superscript"/>
    </w:rPr>
  </w:style>
  <w:style w:type="character" w:styleId="1294">
    <w:name w:val="Footnote Reference7"/>
    <w:next w:val="1294"/>
    <w:link w:val="1128"/>
    <w:rPr>
      <w:vertAlign w:val="superscript"/>
    </w:rPr>
  </w:style>
  <w:style w:type="character" w:styleId="1295">
    <w:name w:val="Endnote Reference6"/>
    <w:next w:val="1295"/>
    <w:link w:val="1128"/>
    <w:rPr>
      <w:vertAlign w:val="superscript"/>
    </w:rPr>
  </w:style>
  <w:style w:type="character" w:styleId="1296">
    <w:name w:val="Знак сноски4"/>
    <w:next w:val="1296"/>
    <w:link w:val="1128"/>
    <w:rPr>
      <w:vertAlign w:val="superscript"/>
    </w:rPr>
  </w:style>
  <w:style w:type="character" w:styleId="1297">
    <w:name w:val="ListLabel 1"/>
    <w:next w:val="1297"/>
    <w:link w:val="1128"/>
  </w:style>
  <w:style w:type="character" w:styleId="1298">
    <w:name w:val="ListLabel 2"/>
    <w:next w:val="1298"/>
    <w:link w:val="1128"/>
  </w:style>
  <w:style w:type="character" w:styleId="1299">
    <w:name w:val="ListLabel 3"/>
    <w:next w:val="1299"/>
    <w:link w:val="1128"/>
  </w:style>
  <w:style w:type="character" w:styleId="1300">
    <w:name w:val="ListLabel 4"/>
    <w:next w:val="1300"/>
    <w:link w:val="1128"/>
  </w:style>
  <w:style w:type="character" w:styleId="1301">
    <w:name w:val="ListLabel 5"/>
    <w:next w:val="1301"/>
    <w:link w:val="1128"/>
  </w:style>
  <w:style w:type="character" w:styleId="1302">
    <w:name w:val="ListLabel 6"/>
    <w:next w:val="1302"/>
    <w:link w:val="1128"/>
  </w:style>
  <w:style w:type="character" w:styleId="1303">
    <w:name w:val="ListLabel 7"/>
    <w:next w:val="1303"/>
    <w:link w:val="1128"/>
  </w:style>
  <w:style w:type="character" w:styleId="1304">
    <w:name w:val="ListLabel 8"/>
    <w:next w:val="1304"/>
    <w:link w:val="1128"/>
  </w:style>
  <w:style w:type="character" w:styleId="1305">
    <w:name w:val="ListLabel 9"/>
    <w:next w:val="1305"/>
    <w:link w:val="1128"/>
  </w:style>
  <w:style w:type="character" w:styleId="1306">
    <w:name w:val="Нижний колонтитул Знак"/>
    <w:next w:val="1306"/>
    <w:link w:val="1128"/>
    <w:rPr>
      <w:sz w:val="24"/>
      <w:szCs w:val="24"/>
      <w:lang w:eastAsia="zh-CN"/>
    </w:rPr>
  </w:style>
  <w:style w:type="character" w:styleId="1307">
    <w:name w:val="Текст сноски Знак"/>
    <w:next w:val="1307"/>
    <w:link w:val="1128"/>
    <w:rPr>
      <w:lang w:eastAsia="zh-CN"/>
    </w:rPr>
  </w:style>
  <w:style w:type="character" w:styleId="1308">
    <w:name w:val="Знак примечания2"/>
    <w:next w:val="1308"/>
    <w:link w:val="1128"/>
    <w:rPr>
      <w:rFonts w:ascii="Symbol" w:hAnsi="Symbol" w:cs="Symbol"/>
      <w:sz w:val="16"/>
      <w:szCs w:val="16"/>
    </w:rPr>
  </w:style>
  <w:style w:type="character" w:styleId="1309">
    <w:name w:val="Текст примечания Знак"/>
    <w:next w:val="1309"/>
    <w:link w:val="1128"/>
    <w:rPr>
      <w:rFonts w:ascii="Symbol" w:hAnsi="Symbol" w:cs="Symbol"/>
      <w:lang w:eastAsia="zh-CN"/>
    </w:rPr>
  </w:style>
  <w:style w:type="character" w:styleId="1310">
    <w:name w:val="Просмотренная гиперссылка"/>
    <w:next w:val="1310"/>
    <w:link w:val="1128"/>
    <w:rPr>
      <w:rFonts w:ascii="Symbol" w:hAnsi="Symbol" w:cs="Symbol"/>
      <w:color w:val="954f72"/>
      <w:u w:val="single"/>
    </w:rPr>
  </w:style>
  <w:style w:type="character" w:styleId="1311">
    <w:name w:val="Знак сноски5"/>
    <w:next w:val="1311"/>
    <w:link w:val="1128"/>
    <w:rPr>
      <w:vertAlign w:val="superscript"/>
    </w:rPr>
  </w:style>
  <w:style w:type="character" w:styleId="1312">
    <w:name w:val="Номер строки"/>
    <w:next w:val="1312"/>
    <w:link w:val="1128"/>
  </w:style>
  <w:style w:type="character" w:styleId="1313">
    <w:name w:val="Знак концевой сноски4"/>
    <w:next w:val="1313"/>
    <w:link w:val="1128"/>
    <w:rPr>
      <w:vertAlign w:val="superscript"/>
    </w:rPr>
  </w:style>
  <w:style w:type="character" w:styleId="1314">
    <w:name w:val="Знак примечания3"/>
    <w:next w:val="1314"/>
    <w:link w:val="1128"/>
    <w:rPr>
      <w:rFonts w:ascii="Symbol" w:hAnsi="Symbol" w:cs="Symbol"/>
      <w:sz w:val="16"/>
      <w:szCs w:val="16"/>
    </w:rPr>
  </w:style>
  <w:style w:type="character" w:styleId="1315">
    <w:name w:val="Текст примечания Знак1"/>
    <w:next w:val="1315"/>
    <w:link w:val="1128"/>
    <w:rPr>
      <w:rFonts w:ascii="Symbol" w:hAnsi="Symbol" w:cs="Symbol"/>
      <w:lang w:eastAsia="zh-CN"/>
    </w:rPr>
  </w:style>
  <w:style w:type="character" w:styleId="1316">
    <w:name w:val="Знак сноски6"/>
    <w:next w:val="1316"/>
    <w:link w:val="1128"/>
    <w:rPr>
      <w:vertAlign w:val="superscript"/>
    </w:rPr>
  </w:style>
  <w:style w:type="character" w:styleId="1317">
    <w:name w:val="Знак концевой сноски5"/>
    <w:next w:val="1317"/>
    <w:link w:val="1128"/>
    <w:rPr>
      <w:vertAlign w:val="superscript"/>
    </w:rPr>
  </w:style>
  <w:style w:type="character" w:styleId="1318">
    <w:name w:val="Знак примечания4"/>
    <w:next w:val="1318"/>
    <w:link w:val="1128"/>
    <w:rPr>
      <w:rFonts w:ascii="Symbol" w:hAnsi="Symbol" w:cs="Symbol"/>
      <w:sz w:val="16"/>
      <w:szCs w:val="16"/>
    </w:rPr>
  </w:style>
  <w:style w:type="character" w:styleId="1319">
    <w:name w:val="Текст примечания Знак2"/>
    <w:next w:val="1319"/>
    <w:link w:val="1128"/>
    <w:rPr>
      <w:rFonts w:ascii="Symbol" w:hAnsi="Symbol" w:cs="Symbol"/>
      <w:lang w:eastAsia="zh-CN"/>
    </w:rPr>
  </w:style>
  <w:style w:type="character" w:styleId="1320">
    <w:name w:val="Footnote Reference8"/>
    <w:next w:val="1320"/>
    <w:link w:val="1128"/>
    <w:rPr>
      <w:vertAlign w:val="superscript"/>
    </w:rPr>
  </w:style>
  <w:style w:type="character" w:styleId="1321">
    <w:name w:val="Endnote Reference7"/>
    <w:next w:val="1321"/>
    <w:link w:val="1128"/>
    <w:rPr>
      <w:vertAlign w:val="superscript"/>
    </w:rPr>
  </w:style>
  <w:style w:type="character" w:styleId="1322">
    <w:name w:val="Footnote Reference9"/>
    <w:next w:val="1322"/>
    <w:link w:val="1128"/>
    <w:rPr>
      <w:vertAlign w:val="superscript"/>
    </w:rPr>
  </w:style>
  <w:style w:type="character" w:styleId="1323">
    <w:name w:val="Endnote Reference8"/>
    <w:next w:val="1323"/>
    <w:link w:val="1128"/>
    <w:rPr>
      <w:vertAlign w:val="superscript"/>
    </w:rPr>
  </w:style>
  <w:style w:type="character" w:styleId="1324">
    <w:name w:val="Знак сноски"/>
    <w:next w:val="1324"/>
    <w:link w:val="1128"/>
    <w:rPr>
      <w:vertAlign w:val="superscript"/>
    </w:rPr>
  </w:style>
  <w:style w:type="character" w:styleId="1325">
    <w:name w:val="Знак концевой сноски"/>
    <w:next w:val="1325"/>
    <w:link w:val="1128"/>
    <w:rPr>
      <w:vertAlign w:val="superscript"/>
    </w:rPr>
  </w:style>
  <w:style w:type="paragraph" w:styleId="1326">
    <w:name w:val="Заголовок7"/>
    <w:basedOn w:val="1128"/>
    <w:next w:val="1327"/>
    <w:link w:val="1128"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327">
    <w:name w:val="Основной текст"/>
    <w:basedOn w:val="1128"/>
    <w:next w:val="1327"/>
    <w:link w:val="1128"/>
    <w:pPr>
      <w:spacing w:before="0" w:after="140" w:line="276" w:lineRule="auto"/>
    </w:pPr>
  </w:style>
  <w:style w:type="paragraph" w:styleId="1328">
    <w:name w:val="Список"/>
    <w:basedOn w:val="1327"/>
    <w:next w:val="1328"/>
    <w:link w:val="1128"/>
    <w:rPr>
      <w:rFonts w:cs="Arial Unicode MS"/>
    </w:rPr>
  </w:style>
  <w:style w:type="paragraph" w:styleId="1329">
    <w:name w:val="Название объекта"/>
    <w:basedOn w:val="1128"/>
    <w:next w:val="1329"/>
    <w:link w:val="1128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330">
    <w:name w:val="Указатель7"/>
    <w:basedOn w:val="1128"/>
    <w:next w:val="1330"/>
    <w:link w:val="1128"/>
    <w:pPr>
      <w:suppressLineNumbers/>
    </w:pPr>
  </w:style>
  <w:style w:type="paragraph" w:styleId="1331">
    <w:name w:val="Caption1"/>
    <w:basedOn w:val="1128"/>
    <w:next w:val="1331"/>
    <w:link w:val="1128"/>
    <w:pPr>
      <w:spacing w:before="120" w:after="120"/>
      <w:suppressLineNumbers/>
    </w:pPr>
    <w:rPr>
      <w:i/>
      <w:iCs/>
      <w:sz w:val="24"/>
      <w:szCs w:val="24"/>
    </w:rPr>
  </w:style>
  <w:style w:type="paragraph" w:styleId="1332">
    <w:name w:val="Caption11"/>
    <w:basedOn w:val="1128"/>
    <w:next w:val="1332"/>
    <w:link w:val="1128"/>
    <w:pPr>
      <w:spacing w:before="120" w:after="120"/>
      <w:suppressLineNumbers/>
    </w:pPr>
    <w:rPr>
      <w:i/>
      <w:iCs/>
      <w:sz w:val="24"/>
      <w:szCs w:val="24"/>
    </w:rPr>
  </w:style>
  <w:style w:type="paragraph" w:styleId="1333">
    <w:name w:val="Заголовок6"/>
    <w:basedOn w:val="1128"/>
    <w:next w:val="1327"/>
    <w:link w:val="1128"/>
    <w:pPr>
      <w:keepNext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1334">
    <w:name w:val="Название объекта6"/>
    <w:basedOn w:val="1128"/>
    <w:next w:val="1334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35">
    <w:name w:val="Указатель6"/>
    <w:basedOn w:val="1128"/>
    <w:next w:val="1335"/>
    <w:link w:val="1128"/>
    <w:pPr>
      <w:suppressLineNumbers/>
    </w:pPr>
    <w:rPr>
      <w:rFonts w:cs="Arial Unicode MS"/>
    </w:rPr>
  </w:style>
  <w:style w:type="paragraph" w:styleId="1336">
    <w:name w:val="Заголовок5"/>
    <w:basedOn w:val="1128"/>
    <w:next w:val="1327"/>
    <w:link w:val="1128"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337">
    <w:name w:val="Название объекта5"/>
    <w:basedOn w:val="1128"/>
    <w:next w:val="1337"/>
    <w:link w:val="1128"/>
    <w:pPr>
      <w:spacing w:before="120" w:after="120"/>
      <w:suppressLineNumbers/>
    </w:pPr>
    <w:rPr>
      <w:i/>
      <w:iCs/>
      <w:sz w:val="24"/>
      <w:szCs w:val="24"/>
    </w:rPr>
  </w:style>
  <w:style w:type="paragraph" w:styleId="1338">
    <w:name w:val="Указатель5"/>
    <w:basedOn w:val="1128"/>
    <w:next w:val="1338"/>
    <w:link w:val="1128"/>
    <w:pPr>
      <w:suppressLineNumbers/>
    </w:pPr>
  </w:style>
  <w:style w:type="paragraph" w:styleId="1339">
    <w:name w:val="Заголовок4"/>
    <w:basedOn w:val="1128"/>
    <w:next w:val="1327"/>
    <w:link w:val="1128"/>
    <w:pPr>
      <w:keepNext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1340">
    <w:name w:val="Название объекта4"/>
    <w:basedOn w:val="1128"/>
    <w:next w:val="1340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41">
    <w:name w:val="Указатель4"/>
    <w:basedOn w:val="1128"/>
    <w:next w:val="1341"/>
    <w:link w:val="1128"/>
    <w:pPr>
      <w:suppressLineNumbers/>
    </w:pPr>
    <w:rPr>
      <w:rFonts w:cs="Arial Unicode MS"/>
    </w:rPr>
  </w:style>
  <w:style w:type="paragraph" w:styleId="1342">
    <w:name w:val="Caption111"/>
    <w:basedOn w:val="1128"/>
    <w:next w:val="1342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43">
    <w:name w:val="Заголовок3"/>
    <w:basedOn w:val="1128"/>
    <w:next w:val="1327"/>
    <w:link w:val="1128"/>
    <w:pPr>
      <w:keepNext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1344">
    <w:name w:val="Название объекта3"/>
    <w:basedOn w:val="1128"/>
    <w:next w:val="1344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45">
    <w:name w:val="Указатель3"/>
    <w:basedOn w:val="1128"/>
    <w:next w:val="1345"/>
    <w:link w:val="1128"/>
    <w:pPr>
      <w:suppressLineNumbers/>
    </w:pPr>
    <w:rPr>
      <w:rFonts w:cs="Arial Unicode MS"/>
    </w:rPr>
  </w:style>
  <w:style w:type="paragraph" w:styleId="1346">
    <w:name w:val="Заголовок2"/>
    <w:basedOn w:val="1128"/>
    <w:next w:val="1327"/>
    <w:link w:val="1128"/>
    <w:pPr>
      <w:keepNext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1347">
    <w:name w:val="Название объекта2"/>
    <w:basedOn w:val="1128"/>
    <w:next w:val="1347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48">
    <w:name w:val="Указатель2"/>
    <w:basedOn w:val="1128"/>
    <w:next w:val="1348"/>
    <w:link w:val="1128"/>
    <w:pPr>
      <w:suppressLineNumbers/>
    </w:pPr>
    <w:rPr>
      <w:rFonts w:cs="Arial Unicode MS"/>
    </w:rPr>
  </w:style>
  <w:style w:type="paragraph" w:styleId="1349">
    <w:name w:val="Caption1111"/>
    <w:basedOn w:val="1128"/>
    <w:next w:val="1349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0">
    <w:name w:val="Caption11111"/>
    <w:basedOn w:val="1128"/>
    <w:next w:val="1350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1">
    <w:name w:val="Заголовок1"/>
    <w:basedOn w:val="1128"/>
    <w:next w:val="1327"/>
    <w:link w:val="1128"/>
    <w:pPr>
      <w:jc w:val="center"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1352">
    <w:name w:val="Название объекта1"/>
    <w:basedOn w:val="1128"/>
    <w:next w:val="1352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3">
    <w:name w:val="Указатель1"/>
    <w:basedOn w:val="1128"/>
    <w:next w:val="1353"/>
    <w:link w:val="1128"/>
    <w:pPr>
      <w:suppressLineNumbers/>
    </w:pPr>
    <w:rPr>
      <w:rFonts w:cs="Arial Unicode MS"/>
    </w:rPr>
  </w:style>
  <w:style w:type="paragraph" w:styleId="1354">
    <w:name w:val="Caption111111"/>
    <w:basedOn w:val="1128"/>
    <w:next w:val="1354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5">
    <w:name w:val="Caption1111111"/>
    <w:basedOn w:val="1128"/>
    <w:next w:val="1355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6">
    <w:name w:val="Caption11111111"/>
    <w:basedOn w:val="1128"/>
    <w:next w:val="1356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7">
    <w:name w:val="Caption111111111"/>
    <w:basedOn w:val="1128"/>
    <w:next w:val="1357"/>
    <w:link w:val="1128"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1358">
    <w:name w:val="Текст примечания1"/>
    <w:basedOn w:val="1128"/>
    <w:next w:val="1358"/>
    <w:link w:val="1128"/>
    <w:rPr>
      <w:sz w:val="20"/>
      <w:szCs w:val="20"/>
    </w:rPr>
  </w:style>
  <w:style w:type="paragraph" w:styleId="1359">
    <w:name w:val="Тема примечания"/>
    <w:basedOn w:val="1358"/>
    <w:next w:val="1358"/>
    <w:link w:val="1128"/>
    <w:rPr>
      <w:b/>
      <w:bCs/>
    </w:rPr>
  </w:style>
  <w:style w:type="paragraph" w:styleId="1360">
    <w:name w:val="Текст выноски"/>
    <w:basedOn w:val="1128"/>
    <w:next w:val="1360"/>
    <w:link w:val="1128"/>
    <w:rPr>
      <w:rFonts w:ascii="Tahoma" w:hAnsi="Tahoma" w:cs="Tahoma"/>
      <w:sz w:val="16"/>
      <w:szCs w:val="16"/>
    </w:rPr>
  </w:style>
  <w:style w:type="paragraph" w:styleId="1361">
    <w:name w:val="Оглавление 1"/>
    <w:basedOn w:val="1128"/>
    <w:next w:val="1128"/>
    <w:link w:val="1128"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1362">
    <w:name w:val="Оглавление 2"/>
    <w:basedOn w:val="1128"/>
    <w:next w:val="1128"/>
    <w:link w:val="1128"/>
    <w:uiPriority w:val="39"/>
    <w:pPr>
      <w:ind w:left="240" w:right="0" w:firstLine="0"/>
    </w:pPr>
    <w:rPr>
      <w:smallCaps/>
      <w:sz w:val="20"/>
      <w:szCs w:val="20"/>
    </w:rPr>
  </w:style>
  <w:style w:type="paragraph" w:styleId="1363">
    <w:name w:val="Оглавление 3"/>
    <w:basedOn w:val="1128"/>
    <w:next w:val="1128"/>
    <w:link w:val="1128"/>
    <w:pPr>
      <w:ind w:left="480" w:right="0" w:firstLine="0"/>
    </w:pPr>
    <w:rPr>
      <w:i/>
      <w:iCs/>
      <w:sz w:val="20"/>
      <w:szCs w:val="20"/>
    </w:rPr>
  </w:style>
  <w:style w:type="paragraph" w:styleId="1364">
    <w:name w:val="Нумерованный список1"/>
    <w:basedOn w:val="1128"/>
    <w:next w:val="1389"/>
    <w:link w:val="1128"/>
    <w:pPr>
      <w:numPr>
        <w:ilvl w:val="0"/>
        <w:numId w:val="5"/>
      </w:numPr>
    </w:pPr>
  </w:style>
  <w:style w:type="paragraph" w:styleId="1365">
    <w:name w:val="Маркированный список 21"/>
    <w:basedOn w:val="1128"/>
    <w:next w:val="1365"/>
    <w:link w:val="1128"/>
    <w:pPr>
      <w:numPr>
        <w:ilvl w:val="0"/>
        <w:numId w:val="2"/>
      </w:numPr>
      <w:ind w:left="643" w:right="0" w:firstLine="0"/>
      <w:tabs>
        <w:tab w:val="left" w:pos="643" w:leader="none"/>
      </w:tabs>
    </w:pPr>
  </w:style>
  <w:style w:type="paragraph" w:styleId="1366">
    <w:name w:val="Колонтитул"/>
    <w:basedOn w:val="1128"/>
    <w:next w:val="1366"/>
    <w:link w:val="1128"/>
    <w:pPr>
      <w:tabs>
        <w:tab w:val="center" w:pos="4819" w:leader="none"/>
        <w:tab w:val="right" w:pos="9638" w:leader="none"/>
      </w:tabs>
      <w:suppressLineNumbers/>
    </w:pPr>
  </w:style>
  <w:style w:type="paragraph" w:styleId="1367">
    <w:name w:val="Верхний колонтитул"/>
    <w:basedOn w:val="1128"/>
    <w:next w:val="1367"/>
    <w:link w:val="1128"/>
    <w:pPr>
      <w:tabs>
        <w:tab w:val="center" w:pos="4677" w:leader="none"/>
        <w:tab w:val="right" w:pos="9355" w:leader="none"/>
      </w:tabs>
    </w:pPr>
  </w:style>
  <w:style w:type="paragraph" w:styleId="1368">
    <w:name w:val="Нижний колонтитул"/>
    <w:basedOn w:val="1128"/>
    <w:next w:val="1368"/>
    <w:link w:val="1128"/>
    <w:pPr>
      <w:tabs>
        <w:tab w:val="center" w:pos="4677" w:leader="none"/>
        <w:tab w:val="right" w:pos="9355" w:leader="none"/>
      </w:tabs>
    </w:pPr>
  </w:style>
  <w:style w:type="paragraph" w:styleId="1369">
    <w:name w:val="Раздел"/>
    <w:basedOn w:val="1128"/>
    <w:next w:val="1369"/>
    <w:link w:val="1128"/>
    <w:pPr>
      <w:numPr>
        <w:ilvl w:val="0"/>
        <w:numId w:val="4"/>
      </w:numPr>
    </w:pPr>
  </w:style>
  <w:style w:type="paragraph" w:styleId="1370">
    <w:name w:val="Оглавление 4"/>
    <w:basedOn w:val="1128"/>
    <w:next w:val="1128"/>
    <w:link w:val="1128"/>
    <w:pPr>
      <w:ind w:left="720" w:right="0" w:firstLine="0"/>
    </w:pPr>
    <w:rPr>
      <w:sz w:val="18"/>
      <w:szCs w:val="18"/>
    </w:rPr>
  </w:style>
  <w:style w:type="paragraph" w:styleId="1371">
    <w:name w:val="Оглавление 5"/>
    <w:basedOn w:val="1128"/>
    <w:next w:val="1128"/>
    <w:link w:val="1128"/>
    <w:pPr>
      <w:ind w:left="960" w:right="0" w:firstLine="0"/>
    </w:pPr>
    <w:rPr>
      <w:sz w:val="18"/>
      <w:szCs w:val="18"/>
    </w:rPr>
  </w:style>
  <w:style w:type="paragraph" w:styleId="1372">
    <w:name w:val="Оглавление 6"/>
    <w:basedOn w:val="1128"/>
    <w:next w:val="1128"/>
    <w:link w:val="1128"/>
    <w:pPr>
      <w:ind w:left="1200" w:right="0" w:firstLine="0"/>
    </w:pPr>
    <w:rPr>
      <w:sz w:val="18"/>
      <w:szCs w:val="18"/>
    </w:rPr>
  </w:style>
  <w:style w:type="paragraph" w:styleId="1373">
    <w:name w:val="Оглавление 7"/>
    <w:basedOn w:val="1128"/>
    <w:next w:val="1128"/>
    <w:link w:val="1128"/>
    <w:pPr>
      <w:ind w:left="1440" w:right="0" w:firstLine="0"/>
    </w:pPr>
    <w:rPr>
      <w:sz w:val="18"/>
      <w:szCs w:val="18"/>
    </w:rPr>
  </w:style>
  <w:style w:type="paragraph" w:styleId="1374">
    <w:name w:val="Оглавление 8"/>
    <w:basedOn w:val="1128"/>
    <w:next w:val="1128"/>
    <w:link w:val="1128"/>
    <w:pPr>
      <w:ind w:left="1680" w:right="0" w:firstLine="0"/>
    </w:pPr>
    <w:rPr>
      <w:sz w:val="18"/>
      <w:szCs w:val="18"/>
    </w:rPr>
  </w:style>
  <w:style w:type="paragraph" w:styleId="1375">
    <w:name w:val="Оглавление 9"/>
    <w:basedOn w:val="1128"/>
    <w:next w:val="1128"/>
    <w:link w:val="1128"/>
    <w:pPr>
      <w:ind w:left="1920" w:right="0" w:firstLine="0"/>
    </w:pPr>
    <w:rPr>
      <w:sz w:val="18"/>
      <w:szCs w:val="18"/>
    </w:rPr>
  </w:style>
  <w:style w:type="paragraph" w:styleId="1376">
    <w:name w:val="Текст сноски"/>
    <w:basedOn w:val="1128"/>
    <w:next w:val="1376"/>
    <w:link w:val="1128"/>
    <w:rPr>
      <w:sz w:val="20"/>
      <w:szCs w:val="20"/>
    </w:rPr>
  </w:style>
  <w:style w:type="paragraph" w:styleId="1377">
    <w:name w:val="Схема документа1"/>
    <w:basedOn w:val="1128"/>
    <w:next w:val="1377"/>
    <w:link w:val="112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378">
    <w:name w:val="Обычный (веб)"/>
    <w:basedOn w:val="1128"/>
    <w:next w:val="1378"/>
    <w:link w:val="1128"/>
    <w:pPr>
      <w:spacing w:before="280" w:after="280"/>
    </w:pPr>
  </w:style>
  <w:style w:type="paragraph" w:styleId="1379">
    <w:name w:val="Стандартный HTML"/>
    <w:basedOn w:val="1128"/>
    <w:next w:val="1379"/>
    <w:link w:val="1128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380">
    <w:name w:val="Текст таблицы"/>
    <w:basedOn w:val="1128"/>
    <w:next w:val="1380"/>
    <w:link w:val="1128"/>
    <w:pPr>
      <w:spacing w:before="40" w:after="40"/>
    </w:pPr>
    <w:rPr>
      <w:rFonts w:ascii="Arial Narrow" w:hAnsi="Arial Narrow" w:cs="Arial Narrow"/>
      <w:sz w:val="20"/>
      <w:szCs w:val="20"/>
    </w:rPr>
  </w:style>
  <w:style w:type="paragraph" w:styleId="1381">
    <w:name w:val="Стиль Заголовок таблицы +1"/>
    <w:basedOn w:val="1128"/>
    <w:next w:val="1381"/>
    <w:link w:val="1128"/>
    <w:pPr>
      <w:jc w:val="center"/>
      <w:keepNext/>
      <w:spacing w:before="40" w:after="40"/>
      <w:widowControl w:val="off"/>
    </w:pPr>
    <w:rPr>
      <w:rFonts w:ascii="Arial Narrow" w:hAnsi="Arial Narrow" w:cs="Arial Narrow"/>
      <w:b/>
      <w:bCs/>
      <w:sz w:val="20"/>
    </w:rPr>
  </w:style>
  <w:style w:type="paragraph" w:styleId="1382">
    <w:name w:val="Рецензия"/>
    <w:next w:val="1382"/>
    <w:link w:val="1128"/>
    <w:rPr>
      <w:sz w:val="24"/>
      <w:szCs w:val="24"/>
      <w:lang w:val="ru-RU" w:eastAsia="zh-CN" w:bidi="ar-SA"/>
    </w:rPr>
  </w:style>
  <w:style w:type="paragraph" w:styleId="1383">
    <w:name w:val="Маркированный список1"/>
    <w:basedOn w:val="1128"/>
    <w:next w:val="1383"/>
    <w:link w:val="1128"/>
    <w:pPr>
      <w:numPr>
        <w:ilvl w:val="0"/>
        <w:numId w:val="3"/>
      </w:numPr>
    </w:pPr>
  </w:style>
  <w:style w:type="paragraph" w:styleId="1384">
    <w:name w:val="Абзац списка"/>
    <w:basedOn w:val="1128"/>
    <w:next w:val="1388"/>
    <w:link w:val="1128"/>
    <w:qFormat/>
    <w:pPr>
      <w:contextualSpacing/>
      <w:ind w:left="720" w:right="0" w:firstLine="0"/>
      <w:spacing w:before="0" w:after="200" w:line="276" w:lineRule="auto"/>
      <w:suppressLineNumbers w:val="0"/>
    </w:pPr>
    <w:rPr>
      <w:rFonts w:ascii="Calibri" w:hAnsi="Calibri" w:eastAsia="Calibri" w:cs="Times New Roman"/>
      <w:sz w:val="22"/>
      <w:szCs w:val="22"/>
    </w:rPr>
  </w:style>
  <w:style w:type="paragraph" w:styleId="1385">
    <w:name w:val="Содержимое таблицы"/>
    <w:basedOn w:val="1128"/>
    <w:next w:val="1385"/>
    <w:link w:val="1128"/>
    <w:pPr>
      <w:widowControl w:val="off"/>
      <w:suppressLineNumbers/>
    </w:pPr>
  </w:style>
  <w:style w:type="paragraph" w:styleId="1386">
    <w:name w:val="Заголовок таблицы"/>
    <w:basedOn w:val="1385"/>
    <w:next w:val="1386"/>
    <w:link w:val="1128"/>
    <w:pPr>
      <w:jc w:val="center"/>
      <w:suppressLineNumbers/>
    </w:pPr>
    <w:rPr>
      <w:b/>
      <w:bCs/>
    </w:rPr>
  </w:style>
  <w:style w:type="paragraph" w:styleId="1387">
    <w:name w:val="Содержимое врезки"/>
    <w:basedOn w:val="1128"/>
    <w:next w:val="1387"/>
    <w:link w:val="1128"/>
  </w:style>
  <w:style w:type="paragraph" w:styleId="1388">
    <w:name w:val="Маркированный список2"/>
    <w:basedOn w:val="1328"/>
    <w:next w:val="1388"/>
    <w:link w:val="1128"/>
    <w:pPr>
      <w:ind w:left="360" w:right="0" w:hanging="360"/>
      <w:spacing w:before="0" w:after="120"/>
    </w:pPr>
  </w:style>
  <w:style w:type="paragraph" w:styleId="1389">
    <w:name w:val="Нумерованный список2"/>
    <w:basedOn w:val="1328"/>
    <w:next w:val="1389"/>
    <w:link w:val="1128"/>
    <w:pPr>
      <w:ind w:left="360" w:right="0" w:hanging="360"/>
      <w:spacing w:before="0" w:after="120"/>
    </w:pPr>
  </w:style>
  <w:style w:type="paragraph" w:styleId="1390">
    <w:name w:val="List Paragraph"/>
    <w:basedOn w:val="1128"/>
    <w:next w:val="1390"/>
    <w:link w:val="1128"/>
    <w:pPr>
      <w:contextualSpacing/>
      <w:ind w:left="720" w:right="0" w:firstLine="0"/>
      <w:spacing w:before="0" w:after="200" w:line="276" w:lineRule="auto"/>
    </w:pPr>
  </w:style>
  <w:style w:type="paragraph" w:styleId="1391">
    <w:name w:val="Текст примечания2"/>
    <w:basedOn w:val="1128"/>
    <w:next w:val="1391"/>
    <w:link w:val="1128"/>
    <w:rPr>
      <w:sz w:val="20"/>
      <w:szCs w:val="20"/>
    </w:rPr>
  </w:style>
  <w:style w:type="paragraph" w:styleId="1392">
    <w:name w:val="Текст примечания3"/>
    <w:basedOn w:val="1128"/>
    <w:next w:val="1392"/>
    <w:link w:val="1128"/>
    <w:rPr>
      <w:sz w:val="20"/>
      <w:szCs w:val="20"/>
    </w:rPr>
  </w:style>
  <w:style w:type="paragraph" w:styleId="1393">
    <w:name w:val="Текст примечания4"/>
    <w:basedOn w:val="1128"/>
    <w:next w:val="1393"/>
    <w:link w:val="1128"/>
    <w:rPr>
      <w:sz w:val="20"/>
      <w:szCs w:val="20"/>
    </w:rPr>
  </w:style>
  <w:style w:type="character" w:styleId="8361" w:default="1">
    <w:name w:val="Default Paragraph Font"/>
    <w:uiPriority w:val="1"/>
    <w:semiHidden/>
    <w:unhideWhenUsed/>
  </w:style>
  <w:style w:type="numbering" w:styleId="8362" w:default="1">
    <w:name w:val="No List"/>
    <w:uiPriority w:val="99"/>
    <w:semiHidden/>
    <w:unhideWhenUsed/>
  </w:style>
  <w:style w:type="table" w:styleId="836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footer" Target="footer6.xml" /><Relationship Id="rId15" Type="http://schemas.openxmlformats.org/officeDocument/2006/relationships/footer" Target="footer7.xml" /><Relationship Id="rId16" Type="http://schemas.openxmlformats.org/officeDocument/2006/relationships/footer" Target="footer8.xml" /><Relationship Id="rId17" Type="http://schemas.openxmlformats.org/officeDocument/2006/relationships/footer" Target="footer9.xml" /><Relationship Id="rId18" Type="http://schemas.openxmlformats.org/officeDocument/2006/relationships/footer" Target="footer10.xml" /><Relationship Id="rId19" Type="http://schemas.openxmlformats.org/officeDocument/2006/relationships/footer" Target="footer11.xml" /><Relationship Id="rId20" Type="http://schemas.openxmlformats.org/officeDocument/2006/relationships/footer" Target="footer12.xml" /><Relationship Id="rId21" Type="http://schemas.openxmlformats.org/officeDocument/2006/relationships/footer" Target="footer13.xml" /><Relationship Id="rId22" Type="http://schemas.openxmlformats.org/officeDocument/2006/relationships/footer" Target="footer14.xml" /><Relationship Id="rId23" Type="http://schemas.openxmlformats.org/officeDocument/2006/relationships/footer" Target="footer15.xml" /><Relationship Id="rId24" Type="http://schemas.openxmlformats.org/officeDocument/2006/relationships/footer" Target="footer16.xml" /><Relationship Id="rId25" Type="http://schemas.openxmlformats.org/officeDocument/2006/relationships/footer" Target="footer17.xml" /><Relationship Id="rId26" Type="http://schemas.openxmlformats.org/officeDocument/2006/relationships/footer" Target="footer18.xml" /><Relationship Id="rId27" Type="http://schemas.openxmlformats.org/officeDocument/2006/relationships/footer" Target="footer19.xml" /><Relationship Id="rId28" Type="http://schemas.openxmlformats.org/officeDocument/2006/relationships/footer" Target="footer20.xml" /><Relationship Id="rId29" Type="http://schemas.openxmlformats.org/officeDocument/2006/relationships/footer" Target="footer21.xml" /><Relationship Id="rId30" Type="http://schemas.openxmlformats.org/officeDocument/2006/relationships/footer" Target="footer22.xml" /><Relationship Id="rId31" Type="http://schemas.openxmlformats.org/officeDocument/2006/relationships/footer" Target="footer23.xml" /><Relationship Id="rId32" Type="http://schemas.openxmlformats.org/officeDocument/2006/relationships/footer" Target="footer24.xml" /><Relationship Id="rId33" Type="http://schemas.openxmlformats.org/officeDocument/2006/relationships/footer" Target="footer25.xml" /><Relationship Id="rId34" Type="http://schemas.openxmlformats.org/officeDocument/2006/relationships/footer" Target="footer26.xml" /><Relationship Id="rId35" Type="http://schemas.openxmlformats.org/officeDocument/2006/relationships/image" Target="media/image1.jpg"/><Relationship Id="rId36" Type="http://schemas.openxmlformats.org/officeDocument/2006/relationships/image" Target="media/image2.emf"/><Relationship Id="rId37" Type="http://schemas.openxmlformats.org/officeDocument/2006/relationships/image" Target="media/image3.emf"/><Relationship Id="rId38" Type="http://schemas.openxmlformats.org/officeDocument/2006/relationships/image" Target="media/image4.emf"/><Relationship Id="rId39" Type="http://schemas.openxmlformats.org/officeDocument/2006/relationships/image" Target="media/image5.emf"/><Relationship Id="rId40" Type="http://schemas.openxmlformats.org/officeDocument/2006/relationships/image" Target="media/image6.emf"/><Relationship Id="rId41" Type="http://schemas.openxmlformats.org/officeDocument/2006/relationships/image" Target="media/image7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10.xml.rels><?xml version="1.0" encoding="UTF-8" standalone="yes"?><Relationships xmlns="http://schemas.openxmlformats.org/package/2006/relationships"></Relationships>
</file>

<file path=word/_rels/footer11.xml.rels><?xml version="1.0" encoding="UTF-8" standalone="yes"?><Relationships xmlns="http://schemas.openxmlformats.org/package/2006/relationships"></Relationships>
</file>

<file path=word/_rels/footer12.xml.rels><?xml version="1.0" encoding="UTF-8" standalone="yes"?><Relationships xmlns="http://schemas.openxmlformats.org/package/2006/relationships"></Relationships>
</file>

<file path=word/_rels/footer13.xml.rels><?xml version="1.0" encoding="UTF-8" standalone="yes"?><Relationships xmlns="http://schemas.openxmlformats.org/package/2006/relationships"></Relationships>
</file>

<file path=word/_rels/footer14.xml.rels><?xml version="1.0" encoding="UTF-8" standalone="yes"?><Relationships xmlns="http://schemas.openxmlformats.org/package/2006/relationships"></Relationships>
</file>

<file path=word/_rels/footer15.xml.rels><?xml version="1.0" encoding="UTF-8" standalone="yes"?><Relationships xmlns="http://schemas.openxmlformats.org/package/2006/relationships"></Relationships>
</file>

<file path=word/_rels/footer16.xml.rels><?xml version="1.0" encoding="UTF-8" standalone="yes"?><Relationships xmlns="http://schemas.openxmlformats.org/package/2006/relationships"></Relationships>
</file>

<file path=word/_rels/footer17.xml.rels><?xml version="1.0" encoding="UTF-8" standalone="yes"?><Relationships xmlns="http://schemas.openxmlformats.org/package/2006/relationships"></Relationships>
</file>

<file path=word/_rels/footer18.xml.rels><?xml version="1.0" encoding="UTF-8" standalone="yes"?><Relationships xmlns="http://schemas.openxmlformats.org/package/2006/relationships"></Relationships>
</file>

<file path=word/_rels/footer19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20.xml.rels><?xml version="1.0" encoding="UTF-8" standalone="yes"?><Relationships xmlns="http://schemas.openxmlformats.org/package/2006/relationships"></Relationships>
</file>

<file path=word/_rels/footer21.xml.rels><?xml version="1.0" encoding="UTF-8" standalone="yes"?><Relationships xmlns="http://schemas.openxmlformats.org/package/2006/relationships"></Relationships>
</file>

<file path=word/_rels/footer22.xml.rels><?xml version="1.0" encoding="UTF-8" standalone="yes"?><Relationships xmlns="http://schemas.openxmlformats.org/package/2006/relationships"></Relationships>
</file>

<file path=word/_rels/footer23.xml.rels><?xml version="1.0" encoding="UTF-8" standalone="yes"?><Relationships xmlns="http://schemas.openxmlformats.org/package/2006/relationships"></Relationships>
</file>

<file path=word/_rels/footer24.xml.rels><?xml version="1.0" encoding="UTF-8" standalone="yes"?><Relationships xmlns="http://schemas.openxmlformats.org/package/2006/relationships"></Relationships>
</file>

<file path=word/_rels/footer25.xml.rels><?xml version="1.0" encoding="UTF-8" standalone="yes"?><Relationships xmlns="http://schemas.openxmlformats.org/package/2006/relationships"></Relationships>
</file>

<file path=word/_rels/footer26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er9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РусГидро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тпах регламентирующих документов</dc:title>
  <dc:creator>KholkinaTA</dc:creator>
  <cp:revision>14</cp:revision>
  <dcterms:created xsi:type="dcterms:W3CDTF">2026-02-27T03:21:00Z</dcterms:created>
  <dcterms:modified xsi:type="dcterms:W3CDTF">2026-04-02T06:33:46Z</dcterms:modified>
  <cp:version>1048576</cp:version>
</cp:coreProperties>
</file>