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0"/>
        <w:jc w:val="center"/>
        <w:spacing w:after="700" w:line="244" w:lineRule="exact"/>
        <w:widowControl w:val="o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ФОРМА ОБОСНОВАНИЯ НМЦ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left="40"/>
        <w:jc w:val="center"/>
        <w:spacing w:after="360" w:line="288" w:lineRule="exact"/>
        <w:widowControl w:val="off"/>
        <w:rPr>
          <w:rFonts w:ascii="Times New Roman" w:hAnsi="Times New Roman" w:eastAsia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t xml:space="preserve">ОБОСНОВАНИЕ НАЧАЛЬНОЙ (МАКСИМАЛЬНОЙ) ЦЕНЫ ДОГОВОРА /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br/>
        <w:t xml:space="preserve">ЦЕНЫ ЕДИНИЦЫ ТОВАРА, РАБОТЫ, УСЛУГИ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</w:p>
    <w:p>
      <w:pPr>
        <w:numPr>
          <w:ilvl w:val="0"/>
          <w:numId w:val="2"/>
        </w:numPr>
        <w:ind w:left="714" w:hanging="357"/>
        <w:jc w:val="both"/>
        <w:spacing w:before="120" w:after="120" w:line="360" w:lineRule="exact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Общая информация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eastAsia="Calibri" w:cs="Times New Roman"/>
          <w:b/>
          <w:sz w:val="26"/>
          <w:szCs w:val="26"/>
        </w:rPr>
      </w:r>
    </w:p>
    <w:tbl>
      <w:tblPr>
        <w:tblStyle w:val="86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608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100" w:line="244" w:lineRule="exact"/>
              <w:widowControl w:val="off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 w:bidi="ru-RU"/>
              </w:rPr>
              <w:t xml:space="preserve">№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 w:bidi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ourier New"/>
                <w:color w:val="000000"/>
                <w:lang w:eastAsia="ru-RU" w:bidi="ru-RU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44" w:lineRule="exact"/>
              <w:widowControl w:val="off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eastAsia="ru-RU" w:bidi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jc w:val="center"/>
              <w:spacing w:line="244" w:lineRule="exact"/>
              <w:widowControl w:val="off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eastAsia="ru-RU" w:bidi="ru-RU"/>
              </w:rPr>
              <w:t xml:space="preserve">Информация по лоту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лота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  <w:t xml:space="preserve">О</w:t>
            </w:r>
            <w:r>
              <w:rPr>
                <w:rFonts w:ascii="Times New Roman" w:hAnsi="Times New Roman"/>
                <w:i/>
              </w:rPr>
              <w:t xml:space="preserve">КПД2 33.13.19 Оказание услуг по регламентированному обслуживанию программного обеспечения локальной системы автоматизированного управления Woodward, проверка уставок и алгоритмов технологических защит газотурбинных установок  для ТЭЦ Восточная, г. Владивос</w:t>
            </w:r>
            <w:r>
              <w:rPr>
                <w:rFonts w:ascii="Times New Roman" w:hAnsi="Times New Roman"/>
                <w:i/>
              </w:rPr>
              <w:t xml:space="preserve">ток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лота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41038017-ТО ПРОД-2026-ДГК-ВосТЭЦ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line="244" w:lineRule="exact"/>
              <w:widowControl w:val="off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eastAsia="ru-RU" w:bidi="ru-RU"/>
              </w:rPr>
              <w:t xml:space="preserve">1.3.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spacing w:line="244" w:lineRule="exact"/>
              <w:widowControl w:val="off"/>
              <w:rPr>
                <w:rFonts w:ascii="Times New Roman" w:hAnsi="Times New Roman" w:eastAsia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highlight w:val="white"/>
                <w:shd w:val="clear" w:color="auto" w:fill="ffffff"/>
                <w:lang w:eastAsia="ru-RU" w:bidi="ru-RU"/>
              </w:rPr>
              <w:t xml:space="preserve">НМЦ лота, рублей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spacing w:line="244" w:lineRule="exact"/>
              <w:widowControl w:val="off"/>
              <w:rPr>
                <w:rFonts w:ascii="Times New Roman" w:hAnsi="Times New Roman" w:eastAsia="Times New Roman"/>
                <w:color w:val="ff0000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highlight w:val="white"/>
                <w:shd w:val="clear" w:color="auto" w:fill="ffffff"/>
                <w:lang w:eastAsia="ru-RU" w:bidi="ru-RU"/>
              </w:rPr>
              <w:t xml:space="preserve">3 251 900</w:t>
            </w:r>
            <w:r>
              <w:rPr>
                <w:rFonts w:ascii="Times New Roman" w:hAnsi="Times New Roman" w:eastAsia="Times New Roman"/>
                <w:highlight w:val="white"/>
                <w:shd w:val="clear" w:color="auto" w:fill="ffffff"/>
                <w:lang w:eastAsia="ru-RU" w:bidi="ru-RU"/>
              </w:rPr>
              <w:t xml:space="preserve">,00</w:t>
            </w:r>
            <w:r>
              <w:rPr>
                <w:rFonts w:ascii="Times New Roman" w:hAnsi="Times New Roman" w:eastAsia="Times New Roman"/>
                <w:highlight w:val="white"/>
                <w:shd w:val="clear" w:color="auto" w:fill="ffffff"/>
                <w:lang w:eastAsia="ru-RU" w:bidi="ru-RU"/>
              </w:rPr>
              <w:t xml:space="preserve"> руб. без НДС</w:t>
            </w:r>
            <w:r>
              <w:rPr>
                <w:rFonts w:ascii="Times New Roman" w:hAnsi="Times New Roman" w:eastAsia="Times New Roman"/>
                <w:color w:val="ff0000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ff0000"/>
                <w:highlight w:val="white"/>
                <w:shd w:val="clear" w:color="auto" w:fill="ffffff"/>
              </w:rPr>
            </w:r>
          </w:p>
        </w:tc>
      </w:tr>
    </w:tbl>
    <w:p>
      <w:pPr>
        <w:numPr>
          <w:ilvl w:val="0"/>
          <w:numId w:val="2"/>
        </w:numPr>
        <w:ind w:left="714" w:hanging="357"/>
        <w:jc w:val="both"/>
        <w:spacing w:before="120" w:after="120" w:line="360" w:lineRule="exact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Использованный метод (методы) расчета НМЦ / цены единицы товара, работы, услуги:</w:t>
      </w: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</w:p>
    <w:p>
      <w:pPr>
        <w:jc w:val="both"/>
        <w:spacing w:after="12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</w:p>
    <w:p>
      <w:pPr>
        <w:jc w:val="both"/>
        <w:spacing w:after="12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Метод анализа технико-коммерческих предложений</w:t>
      </w: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</w:p>
    <w:p>
      <w:pPr>
        <w:jc w:val="both"/>
        <w:spacing w:after="12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Обоснование расчета НМЦ:</w:t>
      </w:r>
      <w:r>
        <w:rPr>
          <w:rFonts w:ascii="Times New Roman" w:hAnsi="Times New Roman" w:eastAsia="Calibri"/>
          <w:sz w:val="26"/>
          <w:szCs w:val="26"/>
        </w:rPr>
      </w:r>
      <w:r>
        <w:rPr>
          <w:rFonts w:ascii="Times New Roman" w:hAnsi="Times New Roman" w:eastAsia="Calibri"/>
          <w:sz w:val="26"/>
          <w:szCs w:val="26"/>
        </w:rPr>
      </w:r>
    </w:p>
    <w:tbl>
      <w:tblPr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31"/>
        <w:gridCol w:w="1871"/>
        <w:gridCol w:w="1984"/>
        <w:gridCol w:w="1701"/>
      </w:tblGrid>
      <w:tr>
        <w:tblPrEx/>
        <w:trPr>
          <w:trHeight w:val="70"/>
        </w:trPr>
        <w:tc>
          <w:tcPr>
            <w:shd w:val="clear" w:color="000000" w:fill="e7e6e6"/>
            <w:tcW w:w="3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Наименование товара/ работы/ услуги в составе лота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Наименование источника ценовой информации (ИЦИ)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Цена из соответствующего ИЦИ, в руб. без НДС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Цена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средняя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итоговая, в руб. без НДС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  <w:tc>
          <w:tcPr>
            <w:shd w:val="clear" w:color="000000" w:fill="e7e6e6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  <w:t xml:space="preserve">Комментарии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r>
          </w:p>
        </w:tc>
      </w:tr>
      <w:tr>
        <w:tblPrEx/>
        <w:trPr>
          <w:trHeight w:val="1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  <w:t xml:space="preserve">О</w:t>
            </w:r>
            <w:r>
              <w:rPr>
                <w:rFonts w:ascii="Times New Roman" w:hAnsi="Times New Roman"/>
                <w:i/>
              </w:rPr>
              <w:t xml:space="preserve">КПД2 33.13.19 Оказание услуг по регламентированному обслуживанию программного обеспечения локальной системы автоматизированного управления Woodward, проверка уставок и алгоритмов технологических защит газотурбинных установок  для ТЭЦ Восточная, г. Владивос</w:t>
            </w:r>
            <w:r>
              <w:rPr>
                <w:rFonts w:ascii="Times New Roman" w:hAnsi="Times New Roman"/>
                <w:i/>
              </w:rPr>
              <w:t xml:space="preserve">ток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ТКП №1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3 330 000,00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3 251 900,</w:t>
            </w:r>
            <w:r>
              <w:rPr>
                <w:rFonts w:ascii="Times New Roman" w:hAnsi="Times New Roman" w:cs="Times New Roman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right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right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24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ТКП №2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3 225 700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eastAsia="Calibri"/>
                <w:highlight w:val="yellow"/>
              </w:rPr>
            </w:pPr>
            <w:r>
              <w:rPr>
                <w:rFonts w:ascii="Times New Roman" w:hAnsi="Times New Roman" w:eastAsia="Calibri"/>
                <w:highlight w:val="yellow"/>
              </w:rPr>
            </w:r>
            <w:r>
              <w:rPr>
                <w:rFonts w:ascii="Times New Roman" w:hAnsi="Times New Roman" w:eastAsia="Calibri"/>
                <w:highlight w:val="yellow"/>
              </w:rPr>
            </w:r>
            <w:r>
              <w:rPr>
                <w:rFonts w:ascii="Times New Roman" w:hAnsi="Times New Roman" w:eastAsia="Calibri"/>
                <w:highlight w:val="yellow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highlight w:val="yellow"/>
                <w:shd w:val="clear" w:color="auto" w:fill="ffff99"/>
                <w:lang w:eastAsia="ru-RU"/>
              </w:rPr>
            </w:r>
          </w:p>
        </w:tc>
      </w:tr>
      <w:tr>
        <w:tblPrEx/>
        <w:trPr>
          <w:trHeight w:val="986"/>
        </w:trPr>
        <w:tc>
          <w:tcPr>
            <w:tcW w:w="326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ТКП № 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3 200 000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hd w:val="clear" w:color="auto" w:fill="ffff99"/>
                <w:lang w:eastAsia="ru-RU"/>
              </w:rPr>
            </w:r>
          </w:p>
        </w:tc>
      </w:tr>
    </w:tbl>
    <w:p>
      <w:pPr>
        <w:contextualSpacing/>
        <w:jc w:val="both"/>
        <w:tabs>
          <w:tab w:val="left" w:pos="5610" w:leader="none"/>
        </w:tabs>
        <w:rPr>
          <w:rFonts w:ascii="Times New Roman" w:hAnsi="Times New Roman" w:eastAsia="Calibri"/>
          <w:sz w:val="26"/>
          <w:szCs w:val="26"/>
          <w:highlight w:val="white"/>
        </w:rPr>
      </w:pP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</w:p>
    <w:p>
      <w:pPr>
        <w:contextualSpacing/>
        <w:jc w:val="both"/>
        <w:tabs>
          <w:tab w:val="left" w:pos="5610" w:leader="none"/>
        </w:tabs>
        <w:rPr>
          <w:rFonts w:ascii="Times New Roman" w:hAnsi="Times New Roman" w:eastAsia="Calibri"/>
          <w:sz w:val="26"/>
          <w:szCs w:val="26"/>
          <w:highlight w:val="white"/>
        </w:rPr>
      </w:pP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  <w:r>
        <w:rPr>
          <w:rFonts w:ascii="Times New Roman" w:hAnsi="Times New Roman" w:eastAsia="Calibri"/>
          <w:sz w:val="26"/>
          <w:szCs w:val="26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</w:style>
  <w:style w:type="paragraph" w:styleId="658">
    <w:name w:val="Heading 1"/>
    <w:basedOn w:val="657"/>
    <w:next w:val="65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7"/>
    <w:uiPriority w:val="10"/>
    <w:rPr>
      <w:sz w:val="48"/>
      <w:szCs w:val="48"/>
    </w:rPr>
  </w:style>
  <w:style w:type="character" w:styleId="680" w:customStyle="1">
    <w:name w:val="Subtitle Char"/>
    <w:basedOn w:val="667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7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57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57"/>
    <w:next w:val="657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Заголовок Знак"/>
    <w:basedOn w:val="667"/>
    <w:link w:val="698"/>
    <w:uiPriority w:val="10"/>
    <w:rPr>
      <w:sz w:val="48"/>
      <w:szCs w:val="48"/>
    </w:rPr>
  </w:style>
  <w:style w:type="paragraph" w:styleId="700">
    <w:name w:val="Subtitle"/>
    <w:basedOn w:val="657"/>
    <w:next w:val="657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basedOn w:val="667"/>
    <w:link w:val="700"/>
    <w:uiPriority w:val="11"/>
    <w:rPr>
      <w:sz w:val="24"/>
      <w:szCs w:val="24"/>
    </w:rPr>
  </w:style>
  <w:style w:type="paragraph" w:styleId="702">
    <w:name w:val="Quote"/>
    <w:basedOn w:val="657"/>
    <w:next w:val="65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57"/>
    <w:next w:val="65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57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Верхний колонтитул Знак"/>
    <w:basedOn w:val="667"/>
    <w:link w:val="706"/>
    <w:uiPriority w:val="99"/>
  </w:style>
  <w:style w:type="paragraph" w:styleId="708">
    <w:name w:val="Footer"/>
    <w:basedOn w:val="6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basedOn w:val="667"/>
    <w:uiPriority w:val="99"/>
  </w:style>
  <w:style w:type="paragraph" w:styleId="710">
    <w:name w:val="Caption"/>
    <w:basedOn w:val="657"/>
    <w:next w:val="657"/>
    <w:link w:val="68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1" w:customStyle="1">
    <w:name w:val="Нижний колонтитул Знак"/>
    <w:link w:val="708"/>
    <w:uiPriority w:val="99"/>
  </w:style>
  <w:style w:type="table" w:styleId="712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57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67"/>
    <w:uiPriority w:val="99"/>
    <w:unhideWhenUsed/>
    <w:rPr>
      <w:vertAlign w:val="superscript"/>
    </w:rPr>
  </w:style>
  <w:style w:type="paragraph" w:styleId="841">
    <w:name w:val="endnote text"/>
    <w:basedOn w:val="657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67"/>
    <w:uiPriority w:val="99"/>
    <w:semiHidden/>
    <w:unhideWhenUsed/>
    <w:rPr>
      <w:vertAlign w:val="superscript"/>
    </w:rPr>
  </w:style>
  <w:style w:type="paragraph" w:styleId="844">
    <w:name w:val="toc 1"/>
    <w:basedOn w:val="657"/>
    <w:next w:val="657"/>
    <w:uiPriority w:val="39"/>
    <w:unhideWhenUsed/>
    <w:pPr>
      <w:spacing w:after="57"/>
    </w:pPr>
  </w:style>
  <w:style w:type="paragraph" w:styleId="845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6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7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8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9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50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51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2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57"/>
    <w:next w:val="657"/>
    <w:uiPriority w:val="99"/>
    <w:unhideWhenUsed/>
    <w:pPr>
      <w:spacing w:after="0"/>
    </w:pPr>
  </w:style>
  <w:style w:type="character" w:styleId="855" w:customStyle="1">
    <w:name w:val="Основной текст (14)_"/>
    <w:basedOn w:val="667"/>
    <w:link w:val="856"/>
    <w:rPr>
      <w:rFonts w:ascii="Times New Roman" w:hAnsi="Times New Roman" w:eastAsia="Times New Roman" w:cs="Times New Roman"/>
      <w:shd w:val="clear" w:color="auto" w:fill="ffffff"/>
    </w:rPr>
  </w:style>
  <w:style w:type="paragraph" w:styleId="856" w:customStyle="1">
    <w:name w:val="Основной текст (14)"/>
    <w:basedOn w:val="657"/>
    <w:link w:val="855"/>
    <w:pPr>
      <w:jc w:val="center"/>
      <w:spacing w:before="400" w:after="700" w:line="24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857" w:customStyle="1">
    <w:name w:val="Подпись к таблице (2)_"/>
    <w:basedOn w:val="667"/>
    <w:link w:val="858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58" w:customStyle="1">
    <w:name w:val="Подпись к таблице (2)"/>
    <w:basedOn w:val="657"/>
    <w:link w:val="857"/>
    <w:pPr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styleId="859">
    <w:name w:val="Table Grid"/>
    <w:basedOn w:val="66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 w:customStyle="1">
    <w:name w:val="Основной текст (2)_"/>
    <w:basedOn w:val="667"/>
    <w:link w:val="862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61" w:customStyle="1">
    <w:name w:val="Основной текст (2) + 11 pt"/>
    <w:basedOn w:val="860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62" w:customStyle="1">
    <w:name w:val="Основной текст (2)"/>
    <w:basedOn w:val="657"/>
    <w:link w:val="860"/>
    <w:pPr>
      <w:ind w:hanging="1740"/>
      <w:jc w:val="both"/>
      <w:spacing w:after="320" w:line="321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table" w:styleId="863" w:customStyle="1">
    <w:name w:val="Сетка таблицы1"/>
    <w:basedOn w:val="668"/>
    <w:next w:val="859"/>
    <w:uiPriority w:val="59"/>
    <w:pPr>
      <w:jc w:val="both"/>
      <w:spacing w:after="0" w:line="240" w:lineRule="auto"/>
    </w:pPr>
    <w:rPr>
      <w:rFonts w:ascii="Times New Roman" w:hAnsi="Times New Roman" w:eastAsia="Calibri" w:cs="Times New Roman"/>
      <w:sz w:val="26"/>
      <w:szCs w:val="26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Balloon Text"/>
    <w:basedOn w:val="657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667"/>
    <w:link w:val="864"/>
    <w:uiPriority w:val="99"/>
    <w:semiHidden/>
    <w:rPr>
      <w:rFonts w:ascii="Segoe UI" w:hAnsi="Segoe UI" w:cs="Segoe UI"/>
      <w:sz w:val="18"/>
      <w:szCs w:val="18"/>
    </w:rPr>
  </w:style>
  <w:style w:type="table" w:styleId="866" w:customStyle="1">
    <w:name w:val="Сетка таблицы2"/>
    <w:basedOn w:val="668"/>
    <w:next w:val="85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Витальевна</dc:creator>
  <cp:keywords/>
  <dc:description/>
  <cp:lastModifiedBy>panina_ev</cp:lastModifiedBy>
  <cp:revision>50</cp:revision>
  <dcterms:created xsi:type="dcterms:W3CDTF">2021-07-07T07:07:00Z</dcterms:created>
  <dcterms:modified xsi:type="dcterms:W3CDTF">2026-03-17T22:42:30Z</dcterms:modified>
</cp:coreProperties>
</file>