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Контракт № </w:t>
      </w:r>
      <w:r>
        <w:rPr>
          <w:rFonts w:ascii="Times New Roman" w:hAnsi="Times New Roman" w:cs="Times New Roman"/>
          <w:b/>
          <w:bCs/>
        </w:rPr>
      </w:r>
      <w:r>
        <w:rPr>
          <w:b/>
          <w:bCs/>
        </w:rPr>
      </w:r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поставку тепловой энергии (мощности), теплоносителя и (или) горячей воды</w:t>
      </w:r>
      <w:r>
        <w:rPr>
          <w:rFonts w:ascii="Times New Roman" w:hAnsi="Times New Roman" w:cs="Times New Roman"/>
          <w:b/>
          <w:bCs/>
        </w:rPr>
      </w:r>
      <w:r>
        <w:rPr>
          <w:b/>
          <w:bCs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               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А</w:t>
      </w:r>
      <w:r>
        <w:rPr>
          <w:rFonts w:ascii="Times New Roman" w:hAnsi="Times New Roman" w:cs="Times New Roman"/>
          <w:highlight w:val="none"/>
        </w:rPr>
        <w:t xml:space="preserve">кционерное общество «Дальневосточная генерирующая компания» (АО «ДГК»), в лице , действующего на основании доверенности  от   № , именуемое в дальнейшем «Поставщик-Теплоснабжающая организация», с одной стороны, и , именуемое в дальнейшем «Заказчик-Абонент»</w:t>
      </w:r>
      <w:r>
        <w:rPr>
          <w:rFonts w:ascii="Times New Roman" w:hAnsi="Times New Roman" w:cs="Times New Roman"/>
          <w:highlight w:val="none"/>
        </w:rPr>
        <w:t xml:space="preserve">, в лице  , действующего на основании    с другой стороны, заключили настоящий контракт о нижеследующем: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1.</w:t>
        <w:tab/>
        <w:t xml:space="preserve">ПРЕДМЕТ КОНТРАКТА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1</w:t>
      </w:r>
      <w:r>
        <w:rPr>
          <w:rFonts w:ascii="Times New Roman" w:hAnsi="Times New Roman" w:cs="Times New Roman"/>
          <w:highlight w:val="none"/>
        </w:rPr>
        <w:t xml:space="preserve">.1. Поставщик-Теплоснабжающая организация подает Заказчику-Абоненту через присоединенную сеть, а  Заказчик-Абонент на условиях  настоящего контракта принимает и оплачивает тепловую энергию (мощность), теплоноситель (воду) для подпитки тепловой сети (далее </w:t>
      </w:r>
      <w:r>
        <w:rPr>
          <w:rFonts w:ascii="Times New Roman" w:hAnsi="Times New Roman" w:cs="Times New Roman"/>
          <w:highlight w:val="none"/>
        </w:rPr>
        <w:t xml:space="preserve"> теплоноситель) и (или) горячую воду.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1</w:t>
      </w:r>
      <w:r>
        <w:rPr>
          <w:rFonts w:ascii="Times New Roman" w:hAnsi="Times New Roman" w:cs="Times New Roman"/>
          <w:highlight w:val="none"/>
        </w:rPr>
        <w:t xml:space="preserve">.2. Местом исполнения обязательств Поставщика-Теплоснабжающей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Заказчика-Абонента и тепловой сети Поставщика-Теплос</w:t>
      </w:r>
      <w:r>
        <w:rPr>
          <w:rFonts w:ascii="Times New Roman" w:hAnsi="Times New Roman" w:cs="Times New Roman"/>
          <w:highlight w:val="none"/>
        </w:rPr>
        <w:t xml:space="preserve">набжающей организации или теплосетевой организации, либо в точке подключения к бесхозяйной тепловой сети.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1</w:t>
      </w:r>
      <w:r>
        <w:rPr>
          <w:rFonts w:ascii="Times New Roman" w:hAnsi="Times New Roman" w:cs="Times New Roman"/>
          <w:highlight w:val="none"/>
        </w:rPr>
        <w:t xml:space="preserve">.3. Поставщик-Теплоснабжающая организация и Заказчик-Абонент в отношениях по теплоснабжению обязуются руководствоваться: Гражданским кодексом РФ, Законами РФ и Указами Президента РФ, постановлениями Правительства РФ, постановлениями уполномоченных органов </w:t>
      </w:r>
      <w:r>
        <w:rPr>
          <w:rFonts w:ascii="Times New Roman" w:hAnsi="Times New Roman" w:cs="Times New Roman"/>
          <w:highlight w:val="none"/>
        </w:rPr>
        <w:t xml:space="preserve">об установлении тарифов на тепловую энергию и горячую воду, Правилами коммерческого учета тепловой энергии, теплоносителя  и иными нормативно-правовыми актами в сфере теплоснабжения и горячего водоснабжения.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2.</w:t>
        <w:tab/>
        <w:t xml:space="preserve">КОНТРОЛЬНЫЕ ЦИФРЫ КОНТРАКТА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2.1. Договорной объем годового потребления тепловой энергии (мощности), теплоносителя и (или) горячей воды с разбивкой по месяцам и кварталам указан в Приложении 1.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2.2. Поставка тепловой энергии (мощности), теплоносителя и (или) горячей воды осуществляется на объекты Заказчика-Абонента, исходя из  часовых нагрузок и (или) площади помещений, указанных в Приложении 2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2.3.Сумма контракта устанавливается согласно выделенным лимитам бюджетных обязательств (Приложение 6).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2.4. Идентификационный код закупки____________________________________________________.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3.</w:t>
        <w:tab/>
        <w:t xml:space="preserve">ОБЯЗАННОСТИ И ПРАВА ПОСТАВЩИКА-ТЕПЛОСНАБЖАЮЩЕЙ ОРГАНИЗАЦИИ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3.1. Поставщик-Теплоснабжающая организация обязуется: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3.1.1. Поставлять тепловую энергию (мощность), теплоноситель и (или) горячую воду на нужды отопления, вентиляции и  горячего водоснабжения путем непрерывной подачи теплоносителя за исключением случаев, оговоренных (в пунктах 3.2.7 - 3.2.9)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.1.2. Ежемесячно выставлять Заказчику-Абоненту счета на плановую стоимость потребляемой тепловой энергии, теплоносителя и (или) горячей воды и счет, счет-фактуру, акт приема-передачи за фактическое потребление в расчетном периоде, в сроки, указанные в п.7.</w:t>
      </w:r>
      <w:r>
        <w:rPr>
          <w:rFonts w:ascii="Times New Roman" w:hAnsi="Times New Roman" w:cs="Times New Roman"/>
          <w:highlight w:val="none"/>
        </w:rPr>
        <w:t xml:space="preserve">2., 7.4. настоящего контракта.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Р</w:t>
      </w:r>
      <w:r>
        <w:rPr>
          <w:rFonts w:ascii="Times New Roman" w:hAnsi="Times New Roman" w:cs="Times New Roman"/>
          <w:highlight w:val="none"/>
        </w:rPr>
        <w:t xml:space="preserve">асчетный период - установленные настоящим договором теплоснабжения промежутки времени с 1-го по последнее число календарного месяца, за которые должны быть определены и полностью оплачены Заказчиком-Абонентом фактически потребленная тепловая энергия, израс</w:t>
      </w:r>
      <w:r>
        <w:rPr>
          <w:rFonts w:ascii="Times New Roman" w:hAnsi="Times New Roman" w:cs="Times New Roman"/>
          <w:highlight w:val="none"/>
        </w:rPr>
        <w:t xml:space="preserve">ходованный теплоноситель на подпитку тепловой сети, а также объём потреблённой горячей воды.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.1.3.  Поддерживать температурные и гидравлические параметры теплоносителя (за исключением случаев, оговоренных в пунктах 3.2.7  -  3.2.9. контракта) на границе балансовой принадлежности для целей отопления, вентиляции и горячего водоснабжения в соответств</w:t>
      </w:r>
      <w:r>
        <w:rPr>
          <w:rFonts w:ascii="Times New Roman" w:hAnsi="Times New Roman" w:cs="Times New Roman"/>
          <w:highlight w:val="none"/>
        </w:rPr>
        <w:t xml:space="preserve">ии  с действующими нормативно  правовыми документами и требованиями законодательства.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.1.4. Проводить ежегодно плановый ремонт и наладку оборудования, промывку и гидравлическую опрессовку трубопроводов собственной тепловой сети с целью обеспечения бесперебойного отпуска тепловой энергии, теплоносителя и (или) горячей воды в отопительный сез</w:t>
      </w:r>
      <w:r>
        <w:rPr>
          <w:rFonts w:ascii="Times New Roman" w:hAnsi="Times New Roman" w:cs="Times New Roman"/>
          <w:highlight w:val="none"/>
        </w:rPr>
        <w:t xml:space="preserve">он.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.1.5. Принимать от Заказчика-Абонента показания индивидуальных приборов учета, введенных в эксплуатацию и использовать их при расчете размера оплаты за тепловую энергию, теплоноситель и (или) горячую воду за тот расчетный период, за который были сняты пока</w:t>
      </w:r>
      <w:r>
        <w:rPr>
          <w:rFonts w:ascii="Times New Roman" w:hAnsi="Times New Roman" w:cs="Times New Roman"/>
          <w:highlight w:val="none"/>
        </w:rPr>
        <w:t xml:space="preserve">зания, а также проводить проверки состояния указанных приборов учета и достоверности предоставленных сведений о показаниях.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3.1.6. При наличии оснований производить перерасчет размера платы, в том числе в связи с поставкой тепловой энергии, теплоносителя и (или) горячей воды ненадлежащего качества и (или) с перерывами, превышающими допустимую продолжительность.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3.1.7.Производить непосредственно при обращении Заказчика-Абонента проверку правильности исчисления размера оплаты за тепловую энергию, теплоноситель и (или) горячую воду, задолженности или переплаты, правильности начисления неустоек (пени).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.1.8.Принимать сообщения Заказчика-Абонента о факте поставки тепловой энергии, теплоносителя  и (или) горячей воды ненадлежащего качества  и (или) с перерывами, превышающими установленную продолжительность;  совместно с организациями, обслуживающими теплов</w:t>
      </w:r>
      <w:r>
        <w:rPr>
          <w:rFonts w:ascii="Times New Roman" w:hAnsi="Times New Roman" w:cs="Times New Roman"/>
          <w:highlight w:val="none"/>
        </w:rPr>
        <w:t xml:space="preserve">ы</w:t>
      </w:r>
      <w:r>
        <w:rPr>
          <w:rFonts w:ascii="Times New Roman" w:hAnsi="Times New Roman" w:cs="Times New Roman"/>
          <w:highlight w:val="none"/>
        </w:rPr>
        <w:t xml:space="preserve">е сети и теплопотребляющие системы ( далее  ТПС) (теплосетевая организация, управляющая компания) проводить проверку данного факта. При этом факт потребления тепловой энергии, теплоносителя и (или) горячей воды ненадлежащего качества и (или) с перерывами, </w:t>
      </w:r>
      <w:r>
        <w:rPr>
          <w:rFonts w:ascii="Times New Roman" w:hAnsi="Times New Roman" w:cs="Times New Roman"/>
          <w:highlight w:val="none"/>
        </w:rPr>
        <w:t xml:space="preserve">превышающими установленную продолжительность, фиксируется в акты.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3.1.9.При обнаружении несанкционированного (бездоговорного) подключения оборудования Заказчика-Абонента к тепловым системам, произвести доначисление платы за потребленные без надлежащего учета тепловую энергию, теплоноситель и (или) горячую воду.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3.1.10. Информировать Заказчика-Абонента о способах экономии энергетических ресурсов и повышения энергетической эффективности их использования путем размещения информации в сети Интернет, на бумажных носителях и иными доступными способами.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3.1.11. Производить с Заказчиком-Абонентом сверку сумм задолженности с составлением акта сверки не реже 1 раза в квартал.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 Поставщик-Теплоснабжающая организация имеет право: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3.2.1. Не прекращать отпуск тепловой энергии на нужды отопления до даты окончания отопительного периода 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.2.2. Производить не чаще 1 раза в квартал  в присутствии представителя Заказчика-Абонента контрольное снятие показаний приборов учета (контрольное снятие показаний приборов учета в помещениях, расположенных в многоквартирных домах (далее  МКД), производит</w:t>
      </w:r>
      <w:r>
        <w:rPr>
          <w:rFonts w:ascii="Times New Roman" w:hAnsi="Times New Roman" w:cs="Times New Roman"/>
          <w:highlight w:val="none"/>
        </w:rPr>
        <w:t xml:space="preserve">ь не чаще 1 раза в 6  месяцев).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.2.3. Составлять акт о выходе из строя узла учета тепловой энергии при обнаружении нарушений в процессе его эксплуатации, обслуживании в соответствии с требованиями Правил коммерческого учета тепловой энергии, теплоносителя и иных действующих норм и правил</w:t>
      </w:r>
      <w:r>
        <w:rPr>
          <w:rFonts w:ascii="Times New Roman" w:hAnsi="Times New Roman" w:cs="Times New Roman"/>
          <w:highlight w:val="none"/>
        </w:rPr>
        <w:t xml:space="preserve">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  <w:t xml:space="preserve">3.2.4. Совместно с Заказчиком-Абонентом составлять акты на превышение температуры обратной сетевой воды более, чем на 5% от от предельно-допустимой температуры обратной сетевой воды (Приложение 4), выдавать предписание об устранении нарушений.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3.2.5. Составлять акты при выявлении факта бездоговорного потребления тепловой энергии, теплоносителя и (или) горячей воды.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3.2.6. Составлять совместные акты при обнаружении утечки сетевой воды из теплосети и  ТПС Заказчика-Абонента.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3.2.7. Для принятия неотложных мер по предупреждению или ликвидации аварии в энергосистеме прекращать или ограничивать подачу тепловой энергии, теплоносителя и (или) горячей воды с обязательным уведомлением Заказчика-Абонента.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3.2.8. Прекращать, ограничивать (полностью или частично) подачу тепловой энергии, теплоносителя и (или) горячей воды в соответствии с действующими нормативно-правовыми актами после предупреждения Заказчика-Абонента в случаях: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</w:r>
      <w:r>
        <w:rPr>
          <w:rFonts w:ascii="Times New Roman" w:hAnsi="Times New Roman" w:cs="Times New Roman"/>
          <w:highlight w:val="none"/>
        </w:rPr>
        <w:tab/>
        <w:t xml:space="preserve">нарушения условий оплаты Заказчиком-Абонентом за потребленную тепловую энергию (мощность), теплоноситель и (или) горячую воду, в том числе: в случае нарушения сроков предварительной оплаты выставленного счета на сумму плановой общей стоимости поставки теп</w:t>
      </w:r>
      <w:r>
        <w:rPr>
          <w:rFonts w:ascii="Times New Roman" w:hAnsi="Times New Roman" w:cs="Times New Roman"/>
          <w:highlight w:val="none"/>
        </w:rPr>
        <w:t xml:space="preserve">л</w:t>
      </w:r>
      <w:r>
        <w:rPr>
          <w:rFonts w:ascii="Times New Roman" w:hAnsi="Times New Roman" w:cs="Times New Roman"/>
          <w:highlight w:val="none"/>
        </w:rPr>
        <w:t xml:space="preserve">овой энергии (мощности), теплоносителя и (или) горячей воды в предстоящем периоде, в размере, превышающем размер платы за более чем один период платежа, установленных в п. 7.3 настоящего договора; в случае нарушения срока, установленного в п. 7.5 настоящег</w:t>
      </w:r>
      <w:r>
        <w:rPr>
          <w:rFonts w:ascii="Times New Roman" w:hAnsi="Times New Roman" w:cs="Times New Roman"/>
          <w:highlight w:val="none"/>
        </w:rPr>
        <w:t xml:space="preserve">о</w:t>
      </w:r>
      <w:r>
        <w:rPr>
          <w:rFonts w:ascii="Times New Roman" w:hAnsi="Times New Roman" w:cs="Times New Roman"/>
          <w:highlight w:val="none"/>
        </w:rPr>
        <w:t xml:space="preserve"> договора для оплаты выставленного Поставщиком-Теплоснабжающей организацией счета-фактуры в порядке, предусмотренном действующим законодательством РФ: для жилого помещения в соответствии с порядком, изложенным в  гл. XI Постановления Правительства РФ от 06</w:t>
      </w:r>
      <w:r>
        <w:rPr>
          <w:rFonts w:ascii="Times New Roman" w:hAnsi="Times New Roman" w:cs="Times New Roman"/>
          <w:highlight w:val="none"/>
        </w:rPr>
        <w:t xml:space="preserve">.</w:t>
      </w:r>
      <w:r>
        <w:rPr>
          <w:rFonts w:ascii="Times New Roman" w:hAnsi="Times New Roman" w:cs="Times New Roman"/>
          <w:highlight w:val="none"/>
        </w:rPr>
        <w:t xml:space="preserve">05.2011 № 354; для нежилого помещения в соответствии с порядком, изложенным в  п.п. 92, 95-97 гл. VI  Постановления Правительства РФ от  08.08.2012 № 808 (для потребителей, относящихся к категории социально-значимых, в порядке предусмотренным Приложением №</w:t>
      </w:r>
      <w:r>
        <w:rPr>
          <w:rFonts w:ascii="Times New Roman" w:hAnsi="Times New Roman" w:cs="Times New Roman"/>
          <w:highlight w:val="none"/>
        </w:rPr>
        <w:t xml:space="preserve">8);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</w:r>
      <w:r>
        <w:rPr>
          <w:rFonts w:ascii="Times New Roman" w:hAnsi="Times New Roman" w:cs="Times New Roman"/>
          <w:highlight w:val="none"/>
        </w:rPr>
        <w:tab/>
        <w:t xml:space="preserve">нарушения режима потребления тепловой энергии, существенно влияющего на теплоснабжение других потребителей, а также в случае несоблюдения установленных техническими регламентами обязательных требований безопасной эксплуатации теплопотребляющих установок;
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возникновения (угрозы возникновения) аварийных ситуаций в системе теплоснабжения;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прекращения обязательств сторон по контракту;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проведения  ремонтно-профилактических работ, по согласованному с администрацией муниципального образования плану подготовки тепловых сетей к отопительному периоду;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выявления фактов бездоговорного потребления тепловой энергии, теплоносителя и (или) горячей воды;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когда удостоверенное органом государственного энергетического надзора неудовлетворительное состояние систем теплопотребления Заказчика-Абонента, угрожает аварией или создает угрозу жизни или здоровью людей,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а также в других случаях, предусмотренных действующим законодательством и иными нормативными актами.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Не подлежат прекращению или ограничению в подаче тепловой энергии, теплоносителя и (или) горячей воды организации, на которых распространяется действие Постановления Правительства РФ от 29.05.2002г. №364, Указа президента РФ от 23.11.1995 №1173.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.2.9. Осуществлять ограничение в подаче тепловой энергии, теплоносителя и (или) горячей воды Заказчику-Абоненту в соответствии с графиками ограничения при возникновении дефицита тепловой мощности, невозможностью соблюдения технологических режимов в связи с</w:t>
      </w:r>
      <w:r>
        <w:rPr>
          <w:rFonts w:ascii="Times New Roman" w:hAnsi="Times New Roman" w:cs="Times New Roman"/>
          <w:highlight w:val="none"/>
        </w:rPr>
        <w:t xml:space="preserve"> экстремальными погодными условиями.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3.2.10.Осуществлять полное или частичное ограничение потребления тепловой энергии, теплоносителя и (или) горячей воды одним из следующих способов: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 полное ограничение режима потребления осуществлять путем переключения на тепловых сетях, либо путем отсоединения теплопотребляющих установок Заказчика-Абонента от тепловой сети.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</w:r>
      <w:r>
        <w:rPr>
          <w:rFonts w:ascii="Times New Roman" w:hAnsi="Times New Roman" w:cs="Times New Roman"/>
          <w:highlight w:val="none"/>
        </w:rPr>
        <w:t xml:space="preserve">частичное ограничение потребления производить путем снижения объема или температуры теплоносителя, подаваемого Заказчику-Абоненту, либо прекращением подачи тепловой энергии, теплоносителя  или горячей воды в определенные периоды в течение суток, недели, ме</w:t>
      </w:r>
      <w:r>
        <w:rPr>
          <w:rFonts w:ascii="Times New Roman" w:hAnsi="Times New Roman" w:cs="Times New Roman"/>
          <w:highlight w:val="none"/>
        </w:rPr>
        <w:t xml:space="preserve">сяца.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3.2.11. Составлять акты по факту ограничения (прекращения) подачи тепловой энергии, теплоносителя и (или) горячей воды. В случае отказа в доступе Поставщика-Теплоснабжающей организации к принадлежащим Заказчику-Абоненту ТПС составлять акт на недопуск.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3.2.12. Информировать Заказчика-Абонента о наличии задолженности путем размещения информации в сети Интернет, на бумажных носителях и иными доступными способами, в том числе посредством направления SMS и E-mail сообщений.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4.</w:t>
        <w:tab/>
        <w:t xml:space="preserve">ОБЯЗАННОСТИ И ПРАВА ЗАКАЗЧИКА-АБОНЕНТА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 Заказчик-Абонент обязуется: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.1.1. Представлять Поставщику-Теплоснабжающей организации полученные лимиты потребления в натуральном и стоимостном выражении, утвержденные соответствующим органом государственной власти, органом управления государственным внебюджетным фондом, органом мест</w:t>
      </w:r>
      <w:r>
        <w:rPr>
          <w:rFonts w:ascii="Times New Roman" w:hAnsi="Times New Roman" w:cs="Times New Roman"/>
          <w:highlight w:val="none"/>
        </w:rPr>
        <w:t xml:space="preserve">н</w:t>
      </w:r>
      <w:r>
        <w:rPr>
          <w:rFonts w:ascii="Times New Roman" w:hAnsi="Times New Roman" w:cs="Times New Roman"/>
          <w:highlight w:val="none"/>
        </w:rPr>
        <w:t xml:space="preserve">ого самоуправления, органом местной администрации, осуществляющего бюджетные полномочия распорядителя бюджетных средств, с разбивкой по месяцам, на предстоящий год, исходя из режима потребления тепловой энергии, теплоносителя  и (или) горячей воды Заказчик</w:t>
      </w:r>
      <w:r>
        <w:rPr>
          <w:rFonts w:ascii="Times New Roman" w:hAnsi="Times New Roman" w:cs="Times New Roman"/>
          <w:highlight w:val="none"/>
        </w:rPr>
        <w:t xml:space="preserve">ом-Абонентом; представлять уточненные и дополнительные объемы финансирования.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4.1.2. Потреблять тепловую энергию (мощность), теплоноситель и (или) горячую воду в пределах лимитов бюджетных обязательств, предоставленных на  соответствующий период в стоимостном и натуральном выражении.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4.1.3. Обращаться в соответствующие Министерства и ведомства по корректировке лимитных бюджетных обязательств при наличии их дефицита.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4.1.4. Рационально использовать предоставленную тепловую энергию, теплоноситель и (или) горячую воду по их прямому назначению.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.1.5.Своевременно и в полном объеме оплачивать выставляемые Поставщиком-Теплоснабжающей организацией платежные документы (счета, счета-фактуры) за тепловую энергию (мощность), теплоноситель и (или) горячую воду в сроки, установленные пунктами 7.3, 7.5 наст</w:t>
      </w:r>
      <w:r>
        <w:rPr>
          <w:rFonts w:ascii="Times New Roman" w:hAnsi="Times New Roman" w:cs="Times New Roman"/>
          <w:highlight w:val="none"/>
        </w:rPr>
        <w:t xml:space="preserve">оящего договора.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4.1.6. При оплате собственными платежными поручениями, указывать в платежных документах дату, № контракта,  №№ счетов-фактур, расчетные периоды, за которые осуществляются платежи.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.1.7. Ежегодно, до 1 марта года, предшествующего году поставки, письменно согласовывать с Поставщиком-Теплоснабжающей организацией объемы поставок тепловой энергии (мощности), теплоносителя и (или) горячей воды с разбивкой по кварталам, месяцам (за исключе</w:t>
      </w:r>
      <w:r>
        <w:rPr>
          <w:rFonts w:ascii="Times New Roman" w:hAnsi="Times New Roman" w:cs="Times New Roman"/>
          <w:highlight w:val="none"/>
        </w:rPr>
        <w:t xml:space="preserve">нием поставки  в жилые помещения, расположенные в МКД). Если объем потребления не заявлен в указанные сроки, в следующем году действуют объемы потребления текущего года.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.1.8. Ежемесячно в срок до окончания 2 (второго) дня месяца, следующего за расчетным месяцем (с учетом сроков, указанных в пункте 4.1.33) представлять Поставщику-Теплоснабжающей организации сведения о расходе по приборам учета по состоянию на 1 (первое) чи</w:t>
      </w:r>
      <w:r>
        <w:rPr>
          <w:rFonts w:ascii="Times New Roman" w:hAnsi="Times New Roman" w:cs="Times New Roman"/>
          <w:highlight w:val="none"/>
        </w:rPr>
        <w:t xml:space="preserve">с</w:t>
      </w:r>
      <w:r>
        <w:rPr>
          <w:rFonts w:ascii="Times New Roman" w:hAnsi="Times New Roman" w:cs="Times New Roman"/>
          <w:highlight w:val="none"/>
        </w:rPr>
        <w:t xml:space="preserve">ло месяца по форме Приложения № 5.1. на электронный адрес, указанный в разделе 12 настоящего договора, с дальнейшей передачей информации, заверенной подписью руководителя (ответственного лица) и печатью, Поставщику-Теплоснабжающей организации любым доступн</w:t>
      </w:r>
      <w:r>
        <w:rPr>
          <w:rFonts w:ascii="Times New Roman" w:hAnsi="Times New Roman" w:cs="Times New Roman"/>
          <w:highlight w:val="none"/>
        </w:rPr>
        <w:t xml:space="preserve">ым способом, позволяющим подтвердить ее получение.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В</w:t>
      </w:r>
      <w:r>
        <w:rPr>
          <w:rFonts w:ascii="Times New Roman" w:hAnsi="Times New Roman" w:cs="Times New Roman"/>
          <w:highlight w:val="none"/>
        </w:rPr>
        <w:t xml:space="preserve"> случае если технические характеристики используемых приборов учета и узлов учета позволяют использовать телеметрические системы передачи показаний приборов учета, представление (снятие) показаний приборов учета осуществляется дистанционно с использованием</w:t>
      </w:r>
      <w:r>
        <w:rPr>
          <w:rFonts w:ascii="Times New Roman" w:hAnsi="Times New Roman" w:cs="Times New Roman"/>
          <w:highlight w:val="none"/>
        </w:rPr>
        <w:t xml:space="preserve"> таких телеметрических систем.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4.1.9. Соблюдать установленный для Заказчика-Абонента режим теплопотребления: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величину утечки сетевой воды не выше установленной  нормы;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температуру сетевой воды, возвращаемой в тепловую сеть на границе раздела, не выше  чем на 5 % от предельно-допустимой температуры обратной сетевой воды  (Приложение 4);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не допускать превышение сверх установленных контрактом часовых нагрузок (Приложение 2).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4.1.10. Заказчик-Абонент  производит оплату Поставщику-Теплоснабжающей организации: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</w:r>
      <w:r>
        <w:rPr>
          <w:rFonts w:ascii="Times New Roman" w:hAnsi="Times New Roman" w:cs="Times New Roman"/>
          <w:highlight w:val="none"/>
        </w:rPr>
        <w:tab/>
        <w:t xml:space="preserve">тепловой энергии по установленным тарифам с учетом повышающего коэффициента за нарушение пункта 4.1.9 при не устранении превышения предельно-допустимой температуры обратной сетевой воды в течение 3 (трех) суток с момента обнаружения и до момента устранени</w:t>
      </w:r>
      <w:r>
        <w:rPr>
          <w:rFonts w:ascii="Times New Roman" w:hAnsi="Times New Roman" w:cs="Times New Roman"/>
          <w:highlight w:val="none"/>
        </w:rPr>
        <w:t xml:space="preserve">я нарушения;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горячей воды, использованной на подготовку ТПС к отопительному сезону;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-</w:t>
        <w:tab/>
        <w:t xml:space="preserve">за утечку сетевой воды из систем теплопотребления, подтвержденную актом или приборами учета тепловой энергии Заказчика-Абонента в размере стоимости горячей воды;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.1.11. Оформить и предоставить Поставщику-Теплоснабжающей организации акт разграничения балансовой принадлежности тепловых сетей и эксплуатационной ответственности сторон. Реестр актов границ раздела приведен в Приложении  3. Сообщать Поставщику-Теплоснабж</w:t>
      </w:r>
      <w:r>
        <w:rPr>
          <w:rFonts w:ascii="Times New Roman" w:hAnsi="Times New Roman" w:cs="Times New Roman"/>
          <w:highlight w:val="none"/>
        </w:rPr>
        <w:t xml:space="preserve">ающей организации и подтверждать актом изменение границ раздела тепловых сетей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.1.12. В соответствии с требованиями Федерального закона от 23.11.2009 № 261-ФЗ обеспечить на границе раздела тепловых сетей предприятия, осуществляющего транспортировку тепловой энергии (или бесхозяйной сети) и Заказчика-Абонента установку приборов учета </w:t>
      </w:r>
      <w:r>
        <w:rPr>
          <w:rFonts w:ascii="Times New Roman" w:hAnsi="Times New Roman" w:cs="Times New Roman"/>
          <w:highlight w:val="none"/>
        </w:rPr>
        <w:t xml:space="preserve">тепловой энергии, теплоносителя и (или) горячей воды, ввод в эксплуатацию для ведения коммерческого учета тепловой энергии и теплоносителя в порядке, установленном Правилами коммерческого учета тепловой энергии, теплоносителя.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4.1.13. Предоставить расчет количества тепловой энергии на компенсацию потерь тепловой энергии на участке трубопровода от границы балансовой до узла учета Заказчика-Абонента, подтвержденный технической или проектной документацией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4.1.14. Эксплуатировать оборудование, контрольно-измерительные приборы, приборы учета и автоматики в соответствии с требованиями нормативно-технической документации.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.1.15. Осуществлять подготовку ТПС к началу отопительного сезона, готовность подтверждать путем подписания соответствующего паспорта готовности акта готовности, предъявлять Поставщику-Теплоснабжающей организации узлы учета энергии на предмет допуска с сост</w:t>
      </w:r>
      <w:r>
        <w:rPr>
          <w:rFonts w:ascii="Times New Roman" w:hAnsi="Times New Roman" w:cs="Times New Roman"/>
          <w:highlight w:val="none"/>
        </w:rPr>
        <w:t xml:space="preserve">авлением соответствующего акта.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.1.16. Проводить после окончания отопительного периода, монтажа, капитального и текущего ремонта с заменой труб промывку водой и гидравлическую опрессовку (в присутствии представителя Поставщика-Теплоснабжающей организации) оборудования тепловых пунктов, Т</w:t>
      </w:r>
      <w:r>
        <w:rPr>
          <w:rFonts w:ascii="Times New Roman" w:hAnsi="Times New Roman" w:cs="Times New Roman"/>
          <w:highlight w:val="none"/>
        </w:rPr>
        <w:t xml:space="preserve">ПС и трубопроводов тепловой сети. Предъявлять акты по выполненным работам представителю Поставщика-Теплоснабжающей организации.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4.1.17. Выполнять за свой счет на своем оборудовании все мероприятия, связанные с наладкой системы теплоснабжения по согласованию с Поставщиком-Теплоснабжающей организацией.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4.1.18. Осуществлять регулировку коэффициента смешения на смесительном устройстве с обязательным выравниванием температуры обратной сетевой воды согласно Приложению 4.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.1.19. Совместно с представителем Поставщика-Теплоснабжающей организации проводить опломбирование устройств системы теплоснабжения. Обеспечивать сохранность средств защиты, установленных Поставщиком-Теплоснабжающей организацией от несанкционированного дост</w:t>
      </w:r>
      <w:r>
        <w:rPr>
          <w:rFonts w:ascii="Times New Roman" w:hAnsi="Times New Roman" w:cs="Times New Roman"/>
          <w:highlight w:val="none"/>
        </w:rPr>
        <w:t xml:space="preserve">упа.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4.1.20. Вводить в эксплуатацию ТПС на каждый отопительный сезон при наличии обученного и аттестованного персонала.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4.1.21. На каждую ТПС вести паспорт установленной формы. Все проводимые мероприятия отражать в паспорте.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.1.22. Осуществлять беспрепятственный допуск представителей Поставщика-Теплоснабжающей организации не чаще 1 раза в квартал к приборам учета тепловой энергии и эксплуатационной документации, с целью проверки условий их эксплуатации и сохранности, снятия ко</w:t>
      </w:r>
      <w:r>
        <w:rPr>
          <w:rFonts w:ascii="Times New Roman" w:hAnsi="Times New Roman" w:cs="Times New Roman"/>
          <w:highlight w:val="none"/>
        </w:rPr>
        <w:t xml:space="preserve">нтрольных показаний, а также в любое время ко всем ТПС при несоблюдении режима потребления тепловой энергии или подачи недостоверных показаний приборов учета. с участием представителя Заказчика-Абонента. 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4.1.22(1). Обеспечить постоянный, беспрепятственный доступ представителей Поставщика-Теплоснабжающей организации к оборудованию дистанционного снятия показаний.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4.1.23. Включать отремонтированные ТПС или их отдельные части после планового или аварийного ремонта, новые объекты только с разрешения и в присутствии представителя Поставщика-Теплоснабжающей организации.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4.1.24. Обеспечивать сохранность сооружений, коммуникаций и тепловых установок Поставщика-Теплоснабжающей организации при наличии их на территории Заказчика-Абонента.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4.1.25. В срок не менее чем за десять дней согласовывать с Поставщиком-Теплоснабжающей организацией отключение/подключение ТПС (в том числе для проведения ремонтных работ). Дата отключения и включения подтверждается двухсторонним актом.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.1.26. В период прекращения и ограничения в подаче тепловой энергии (мощности), теплоносителя и (или) горячей воды, принимать меры по предотвращению вывода из строя, гибели, порчи, повреждения теплоиспользующего оборудования систем теплопотребления, имущес</w:t>
      </w:r>
      <w:r>
        <w:rPr>
          <w:rFonts w:ascii="Times New Roman" w:hAnsi="Times New Roman" w:cs="Times New Roman"/>
          <w:highlight w:val="none"/>
        </w:rPr>
        <w:t xml:space="preserve">тва, сырья, выпускаемой продукции.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4.1.27. При обнаружении утечки сетевой воды из тепловой сети и ТПС Заказчика-Абонента немедленно сообщать об этом диспетчеру Поставщика-Теплоснабжающей организации для совместного обследования и составления акта на размер утечки.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.1.28. Представлять Поставщику-Теплоснабжающей организации перечень должностных лиц, уполномоченных подписывать акты и другие документы любых форм по вопросам эксплуатации ТПС, расчетов, назначении ответственных лиц за тепловое хозяйство и передачу показан</w:t>
      </w:r>
      <w:r>
        <w:rPr>
          <w:rFonts w:ascii="Times New Roman" w:hAnsi="Times New Roman" w:cs="Times New Roman"/>
          <w:highlight w:val="none"/>
        </w:rPr>
        <w:t xml:space="preserve">ий приборов учета и сообщать в письменной форме в течение 10 рабочих дней о внесенных в перечень изменениях. Предоставлять образцы подписей указанных должностных лиц.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4.1.29. Производить сверку сумм задолженности за потребленную тепловую энергию (мощность), теплоноситель и (или) горячую воду с подписанием акта сверки до 15 числа месяца, следующего за отчетным кварталом, годом.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.1.30. В течение 5 (пяти) дней с даты получения подписать и направить Поставщику-Теплоснабжающей организации один экземпляр акта приема-передачи за потреблённую тепловую энергию. В случае не предоставления документов в указанные сроки считается, что объем </w:t>
      </w:r>
      <w:r>
        <w:rPr>
          <w:rFonts w:ascii="Times New Roman" w:hAnsi="Times New Roman" w:cs="Times New Roman"/>
          <w:highlight w:val="none"/>
        </w:rPr>
        <w:t xml:space="preserve">потреблённой в отчетном периоде тепловой энергии, теплоносителя и (или) горячей воды Заказчиком-Абонентом согласован.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</w:t>
      </w:r>
      <w:r>
        <w:rPr>
          <w:rFonts w:ascii="Times New Roman" w:hAnsi="Times New Roman" w:cs="Times New Roman"/>
          <w:highlight w:val="none"/>
        </w:rPr>
        <w:t xml:space="preserve">.1.31. Обеспечить доступ к ТПС Заказчика-Абонента уполномоченных представителей Поставщика-Теплоснабжающей организации для осуществления действий по ограничению (прекращению) режима потребления в случаях, предусмотренных пунктом 3.2.8 настоящего контракта.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  <w:t xml:space="preserve">4.1.32. Ежемесячно самостоятельно забирать документы, выставляемые Поставщиком-Теплоснабжающей организацией в соответствии с пунктом 3.1.2. настоящего контракта.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Для помещений, расположенных в МКД</w:t>
      </w:r>
      <w:r>
        <w:rPr>
          <w:rFonts w:ascii="Times New Roman" w:hAnsi="Times New Roman" w:cs="Times New Roman"/>
          <w:b/>
          <w:bCs/>
          <w:highlight w:val="none"/>
        </w:rPr>
        <w:t xml:space="preserve">: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4.1.33. При наличии индивидуальных приборов учета в помещениях, расположенных в МКД, снимать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его показания в период с 23-го по 25-е число текущего месяца и передавать показания Поставщику-Теплоснабжающей организации и (или) иному уполномоченному лицу не позднее 26-го числа текущего месяца, в порядке, указанном в пункте 4.1.8. настоящего договора.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4.1.34. Письменно уведомлять Поставщика-Теплоснабжающую организацию о переводе помещения из жилого в нежилое в течение 1 месяца со дня перевода, с предоставлением подтверждающих документов.</w:t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4.1.35. В случае возникновения законных оснований на владение жилыми и (или) нежил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ыми помещениями в МКД, не входящими в перечень объектов, включенных в настоящий контракт Заказчик-Абонент обязан обратится к Поставщику-Теплоснабжающей организации для включение таких объектов в данный контракт, с предоставлением подтверждающих документов.</w:t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.36. Обеспечивать проведение поверок используемых приборов учета в сроки, установленные технической документацией на прибор учета, предварительно информируя Поставщика-Теплоснабжающую организацию о планируемой дате снятия и дате установления прибора учета.</w:t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4.1.37. Информировать Поставщика-Теплоснабжающую организацию об изменении числа граждан, проживающих (в том числе временно) в занимаемом жилом помещении, находящемся в МКД, не позднее 5 рабочих дней со дня произошедших изменений.</w:t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4.1.38. Не производить слив горячей воды из системы отопления без разрешения Поставщика-Теплоснабжающей организации.</w:t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4.1.39. Не осуществлять регулирование оборудования внутри помещения, используемого для потребления отопления, и совершать иные действия, в результате которых в помещении в МКД будет поддерживаться температура воздуха</w:t>
      </w:r>
      <w:r>
        <w:rPr>
          <w:rFonts w:ascii="Times New Roman" w:hAnsi="Times New Roman" w:cs="Times New Roman"/>
          <w:b w:val="0"/>
          <w:bCs w:val="0"/>
          <w:highlight w:val="none"/>
          <w:lang w:val="ru-RU" w:bidi="ru-RU"/>
        </w:rPr>
        <w:t xml:space="preserve"> ниже 12 град. С.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highlight w:val="none"/>
          <w:lang w:val="ru-RU" w:bidi="ru-RU"/>
        </w:rPr>
        <w:t xml:space="preserve">4.2. Заказчик-Абонент имеет право:</w:t>
      </w:r>
      <w:r>
        <w:rPr>
          <w:rFonts w:ascii="Times New Roman" w:hAnsi="Times New Roman" w:cs="Times New Roman"/>
          <w:b/>
          <w:bCs/>
          <w:highlight w:val="none"/>
          <w:lang w:val="ru-RU" w:bidi="ru-RU"/>
        </w:rPr>
      </w:r>
      <w:r>
        <w:rPr>
          <w:rFonts w:ascii="Times New Roman" w:hAnsi="Times New Roman" w:cs="Times New Roman"/>
          <w:b/>
          <w:bCs/>
          <w:highlight w:val="none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4.2.1. По согласованию с Поставщиком-Теплоснабжающей организацией пересматривать объем принимаемой тепловой энергии (мощности), теплоносителя и (или) горячей воды, на предстоящий год/отопительный период в сроки, согласно пункта 4.1.7.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4.2.2. Заявлять Поставщику-Теплоснабжающей организации об ошибках, обнаруженных в платежном документе. Ис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полнение Заказчиком-Абонентом обязательств по оплате поставленной тепловой энергии, теплоносителя и (или) горячей воды обязательно после устранения Поставщиком-Теплоснабжающей организацией ошибок и предоставления надлежаще оформленных платежных документов.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4.2.3. Обращаться к Поставщику-Теплоснабжающей организации для сверки сумм задолженности за потребленную тепловую энергию (мощность) и (или) горячую воду с составлением 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4.2.4. Выбирать, изменять по письменному заявлению за 30 дней до начала срока действия расчетного периода дополнительный способ получения платежных документов, передачи показаний приборов учета тепловой энергии.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  <w:r>
        <w:rPr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5. УЧЕТ И ПОРЯДОК ОПРЕДЕЛЕНИЯ ОБЪЕМОВ ТЕПЛОВОЙ ЭНЕРГИИ (МОЩНОСТИ), ТЕПЛОНОСИТЕЛЯ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И (ИЛИ) ГОРЯЧЕЙ ВОДЫ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5.1. Учет потребленной теп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ловой энергии (мощности), теплоносителя и (или) горячей воды ведется по показаниям установленных приборов при условии ввода их в эксплуатацию Поставщиком-Теплоснабжающей организацией. Сведения о приборах учета и месте их установки приведены в Приложении 5.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5.1(1) До момента ввода в эксплуатацию узла учета на вновь подключаемом объекте к системе теплоснабжения, расчет потребленной тепловой энергии (мощности), теплоносителя и (или) горяче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й воды за период опытной эксплуатации приборов учета в течение 3 суток (для объектов с горячим водоснабжением - 7 суток) ведется по максимальной тепловой нагрузке согласно договору о подключении объекта капитального строительства к системам теплоснабжения.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  <w:t xml:space="preserve">5.2. Определение объема тепловой энергии на нужды отопления и вентиляции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  <w14:ligatures w14:val="none"/>
        </w:rPr>
      </w:r>
      <w:r>
        <w:rPr>
          <w:b/>
          <w:bCs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5.2.1. Количество тепловой энергии, потребленной Заказчиком-Абонентом рассчитывается исходя из объема тепловой энергии: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- зафиксированного приборами учета в штатном режиме работы;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- израсходованного за время нештатных ситуаций;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- израсходованного на компенсацию потерь тепловой энергии с учетом утечки теплоносителя на участке трубопровода от границы раздела до узла учета;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- израсходованного на подпитку системы отопления (при независимой схеме подключения ТПТ Заказчика-Абонента);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- израсходованного с утечкой теплоносителя в ТПС Заказчика-Абонента.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 установке приборов учета (узла учета) до границы балансовой принадлежности объем компенсации потерь тепловой энергии берется со знаком «-», если после границы балансовой принадлежности, то со знаком «+».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Объем тепловой энергии на участке сети от границы раздела до узла учета принимается согласно Приложению 1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5.2.2. Количество тепловой энергии, израсходованной за период действия нештатных ситуаций, определяется исходя из   среднесуточного количества тепловой энергии, определенной по приборам учета за время штатной работы в отчетный перио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д, и времени действия нештатных ситуаций. При суммарном времени действия нештатных ситуаций более 15 дней за отчетный период, количество потреблённой тепловой энергии определяется расчетным путем в соответствии с пунктами 5.2.3, 5.2.5 настоящего контракта.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5.2.3. При неисправности приборов учета, в том числе истечении срока поверки средств измерений, входящих в состав узла учета, нарушении установленных пломб, работы в нештатных ситуациях, вывода из работы для ремонта и пов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ерки на срок до 30 суток расчет объема тепловой энергии производится исходя из среднесуточного количества тепловой энергии, определенного по приборам учета за время штатной работы в отчетный период, приведенного к фактической температуре наружного воздуха.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5.2.4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 При нарушении сроков предоставления показаний приборов в качестве среднесуточного показателя принимается количество тепловой энергии, определенное по приборам учета за предыдущий расчетный период, приведенное к фактической температуре наружного воздуха.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случае если предыдущий расчетный период приходится на другой отопительный период или данные за предыдущий период отсутствуют, количество тепловой энергии определяется исходя из значения тепловой нагрузки, указанной в контракте.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5.2.5. При от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сутствии в точках учета расчетных приборов учета или не работы их более 30 суток расчетного периода, определение фактического отпуска тепловой энергии, расходуемой на отопление и вентиляцию осуществляется расчетным путем исходя из значения тепловой нагрузк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и, указанной в контракте и температуры наружного воздуха за весь расчетный период, с учетом объема тепловой энергии, израсходованной на компенсацию потерь тепловой энергии на участке трубопровода от границы раздела балансовой принадлежности тепловых сетей.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случае если в период срезки температурного графика в тепловой сети при положительных температурах наружного воздуха отсутствует автоматич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еское регулирование подачи тепла на отопление, а также если срезка температурного графика осуществляется в период низких температур наружного воздуха, величина температуры наружного воздуха принимается равной температуре, указанной в начале срезки графика.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  <w:t xml:space="preserve">5.3. Определение объема горячей воды</w:t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5.3.1 При наличии отдельного учета, объем горячей воды при временной неисправности приборов учета (до 30 дней) рассчитывается по фактическому расходу, определенному по приборам учета за предыдущий период.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5.3.2. В случае нерабочего состояния приборов учета более 30 дней, объем горячего водоснабжения принимается равным договорному объему, указанному в Приложении № 1.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5.3.3. Объем тепловой энергии на нужды горячего водоснабжения определяется исходя из установленной величины расхода тепловой энергии на нагрев 1 м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воды.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5.4. Количество тепловой энергии, теплоносителя, потерянных с утечкой теплоносителя, определяется расчетным путем в следующих случаях: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- утечка теплоносителя (включая утечку теплоносителя в сетях Заказчика-Абонента до узла учета) выявлена и оформлена совместными актами;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- величина утечки теплоносителя, зафиксированная водосчётчиком при подпитке независимых систем, превышает нормативную.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остальных случаях учитывается величина утечки теплоносителя, определенная настоящим контрактом (Приложение 1)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  <w:t xml:space="preserve">5.5. Порядок определения объемов тепловой энергии и (или) горячей воды в помещениях, расположенных в МКД</w:t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5.5.1 Опре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деление объема потребления тепловой энергии на нужды отопления и (или) вентиляции производится  по показаниям установленных индивидуальных и (или) общедомового (коллективного) приборов учета тепловой энергии в соответствии с действующим законодательством.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 отсутствии в МКД общедомового (коллективного) пр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ибора учета тепловой энергии и отсутствии у Заказчика-Абонента индивидуальных приборов учета определение фактического отпуска тепловой энергии на отопление и (или) вентиляцию производится по нормативам, установленным уполномоченным государственным органом.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Перечень приборов учета и место их установки приведен в Приложении 5.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5.5.2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Объем горячей воды на индивидуальное потребление определяется на основании показаний индивидуальных, общих (квартирны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х), комнатных приборов учета горячей воды. В случае их отсутствия:  для жилых помещений – исходя из установленных уполномоченными органами нормативов потребления; для нежилых помещений  -  расчетным путем в соответствии с требованиями законодательства РФ.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5.5.3. В случаях выхода из строя или утраты прибора учета, истечения срока его эксплуатации, непредставлении Заказчиком-Абонентом сведений о показаниях приборов учета в указанные в пункте 4.1.33 с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роки, недопуске к прибору учета для проверки состояния прибора учета и достоверности, представленных Заказчиком-Абонентом сведений о его показаниях,  при обнаружении факта несанкционированного вмешательства в работу индивидуального прибора учета, а так же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 обнаружении несанкционированного подключения дополнительного оборудования Заказчика-Абонента к внутридомовым инженерным системам,  объем горячей воды определяется в порядке, изложенном в пунктах 59, 60 Постановления Правительства РФ от 06.05.2011 № 354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5.5.4.В случае выхода из строя или утраты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ранее введенного в эксплуатацию общедомового  прибора учета либо истечения срока его эксплуатации объем потребления тепловой энергии на отопление определяется в порядке, изложенном в пунктах 59(1), 60(1) Постановления Правительства РФ от 06.05.2011 № 354.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5.5.5. При от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сутствии индивидуальных приборов учета и наличии технической возможности их установки, размер платы за  горячую воду в жилых помещениях определяется исходя из установленных нормативов потребления по горячему водоснабжению с учетом повышающего коэффициента.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6. ЦЕНА КОНТРАКТА. ТАРИФЫ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6.1. Цена Контракта на момент его заключения составляет ____________________________________.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Источник финансирования ______________________________________________________________.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6.2. Цена Контракта является твердой и определяется на весь срок исполнения Контракта, за исключением случаев, установленных законодательством Российской Федерации.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6.3. Цена контракта установлена в рублях и рассчитана исходя из утвержденных уполномоченными органами исполнительной власти в области госуд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арственного регулирования цен (тарифов) на тепловую энергию, теплоноситель и (или) горячую воду.  В случае изменения тарифа на тепловую энергию, теплоноситель (или) горячую воду изменение цены контракта производится на основании дополнительного соглашения.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6.4. В случае уменьшения Заказчику-Абоненту ранее доведенных лимитов бюджетных обязательств, п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риводящего к невозможности исполнения Заказчиком-Абонентом обязательств, вытекающих из настоящего Контракта, Стороны должны обеспечить согласование новых условий по цене Контракта и (или) срокам его исполнения и (или) объему поставляемой тепловой энергии.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6.5. При исполнении Контракта по предложению Заказчика-Абонента допускается увеличение или уменьшение предусмотренного Контрактом объема поставки тепловой энергии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(мощности), теплоносителя (или) горячей воды, но не более чем на 10 (десять) процентов. При этом Стороны вправе при увеличении объема поставки, с учетом положений бюджетного законодательства Российской Федерации, изменить цену Контракта пропорционально объ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ему дополнительно поставляемых тепловой энергии и (или) горячей воды, исходя из установленной в Контракте цены, но не более чем на 10 (десять) процентов от цены Контракта. Аналогично, при уменьшении объема поставки Стороны обязаны уменьшить цену Контракта.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6.6. Расчет за полученную тепловую энергию (мощность), теплоноситель и (или) горячую воду производится по тарифам, установленным в соответствии с постановлени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ем уполномоченного государственного органа по регулированию тарифов. Величины тарифов доводятся до Заказчика-Абонента специальным сообщением в средствах массовой информации и подлежат применению с даты, установленной уполномоченным государственным органом.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6.7. При нарушении режима потребления тепловой энергии, в том числе превышении фактического объема потребления тепловой энергии, теплоно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сителя и (или) горячей воды над договорным объемом потребления исходя из договорных величин, или отсутствии коммерческого учета тепловой энергии, теплоносителя и (или) горячей воды в случаях, предусмотренных законодательством Российской Федерации расчет за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объем сверхдоговорного, безучетного потребления или потребления с нарушением режима потребления ведется с применением к тарифам в сфере теплоснабжения повышающих коэффициентов, установленных уполномоченным государственным органом по регулированию тарифов.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7. ПОРЯДОК РАСЧЕТОВ ЗА ТЕПЛОВУЮ ЭНЕРГИЮ (МОЩНОСТЬ), ТЕПЛОНОСИТЕЛЬ И (ИЛИ) ГОРЯЧУЮ ВОДУ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7.1. Оплата тепловой энергии (мощности), теплоносителя и горячей воды производится в пределах выделенных лимитов, согласно Приложению 6 к настоящему контракту.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7.2. Поставщик-Теплоснабжающая орга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низация до 1 числа расчетного периода направляет Заказчику-Абоненту, в соответствии с п.3.1.2. настоящего контракта, счет на сумму 30% плановой общей стоимости поставки тепловой энергии (мощности), теплоносителя и (или) горячей воды  в предстоящем периоде.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Плановая общая стоимость потребляемой тепловой энергии (мощности), теплоносителя и (или) горячей воды – произведение планового объема потребления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тепловой энергии (мощности), теплоносителя и (или) горячей воды в расчетном периоде, указанного в Приложении 1 к настоящему контракту на тариф, установленный в соответствии с постановлением уполномоченного государственного органа по регулированию тарифов.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7.3. Заказчик-Абонент на основании предъявленного Поставщиком-Теплоснабжающей организацией счета самостоятельно платежным пор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учением вносит на расчётный счёт Поставщика-Теплоснабжающей организации предварительную оплату в размере плановой стоимости тепловой энергии и (или) горячей воды, потребляемых в периоде, за который осуществляется оплата, в срок до 18 числа текущего месяца.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 w:val="0"/>
          <w:iCs w:val="0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7.4. Не позднее 05 числа месяца, следующего за расчетным периодом, Поставщик-Теплоснабжающая организация выставляет Заказчику-Абоненту счет, счет-фактуру, акт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приема-передачи, расчетную ведомость за фактически потребленную тепловую энергию (мощность), теплоноситель и (или) горячую воду, в соответствии с разделом 5, пунктом 4.1.10 настоящего контракта, за весь расчетный период (с 1-го по последнее число месяца).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7.5. Заказчик-Абонент производит оплату выставленных Поставщиком-Теплоснабжающей организацией платежных документов за потребленную тепловую энергию (мощность), теплоноситель и (или) горячую воду по 15 чис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ло месяца включительно, следующего за расчётным периодом, за который осуществляется оплата, с учетом ранее внесенных сумм предварительной оплаты. В случае если объем фактического потребления тепловой энергии и (или) теплоносителя за истекший расчётный пери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од меньше плановой общей стоимости в расчётном периоде, определенной договором теплоснабжения, переплата засчитывается сторонами в счет оплаты стоимости поставки тепловой энергии (мощности), теплоносителя и (или) горячей воды в следующем расчётном периоде.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7.6. Обязательство по оплате тепловой энергии (мощности), теплоносителя и (или) горячей воды считается исполненным в день поступления денежных средств на расчетный счет Поставщика-Теплоснабжающей организации.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7.7. При оплате Заказчиком-Абонентом потребленной тепловой энергии (мощности), теплоносителя и (или) горячей воды собственными платежными поручениями без указания № оплачива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емого платежного документа, периода, за который производится платеж и без указания разделения оплаты по видам потребления (Гкал, тн, м3). Поставщик-Теплоснабжающая организация вправе самостоятельно определить периоды и разделить оплату по видам продукции.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  <w14:ligatures w14:val="none"/>
        </w:rPr>
      </w:r>
    </w:p>
    <w:p>
      <w:pPr>
        <w:pStyle w:val="1_2926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8. ОСОБЫЕ УСЛОВИЯ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8.1. На включение ТПС в эксплуатацию выдается:  акт проверки готовности к отопительному сезону, паспорт готовности (в соответствии с пунктом 4.1.15. настоящего контракта), наряд-допуск. Акты являются документами, дающими пра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во Заказчику-Абоненту на включение, а Поставщику-Теплоснабжающей организации на предъявление счета на оплату тепловой энергии (мощности), теплоносителя и (или) горячей воды со дня выдачи нарядов. При включении ТПС в эксплуатацию без наряда-допуска пользова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ние тепловой энергией, теплоносителем признается самовольным, оплата производится с начала отопительного сезона, если документально не зарегистрирована или доказана иная дата включения, по тарифу, действующему в момент обнаружения самовольного подключения.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8.2. Работы по обслуживанию узла учета, связанные с демонтажем, поверкой, монтажом и ремонтом оборудования осуществляются персоналом организации, выполняющей функции метрологической службы.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8.3. Коммуникации и элементы ТПС подвальных и других специальных помещений, предназначенных для хранения товарно-материальных ценностей, должны быть: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испытаны по требованиям, предъявленным к трубопроводам теплосети;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оборудованы  дренажными устройствами;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иметь конструкцию вводов теплосети, предотвращающих попадание сетевой воды в здание при повреждении на теплосети.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8.4. На период проведения ремонтных работ Поставщик-Теплоснабжающая организация вправе прекращать подачу тепловой энергии, теплоносителя и (или) горячей воды без согласования, предварительно уведомив Заказчика-Абонента о сроках отключения.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8.5. При отклонении от гарантированных параметров теплоносителя вследствие сбросов и утечек сетевой воды из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систем теплопотребления Заказчика-Абонента, превышения им без разрешения Поставщика-Теплоснабжающей организации объемов и несоблюдения режимов теплопотребления, Поставщик-Теплоснабжающая организация ответственности за режим не несет и штрафы не оплачивает.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8.6. В случае, если ТПС Заказчика-Абонента подключены через бесхозяйну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ю тепловую сеть, Поставщик-Теплоснабжающая организации за  несоблюдение требований к параметрам качества теплоснабжения, нарушение режима теплопотребления, возникшие в бесхозяйной сети,  ответственности не несет и претензии Заказчика-Абонента не принимает.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8.7. В случае нарушения Заказчиком-Абон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ентом п. 4.1.9 составляется двухсторонний акт. При отказе представителя Заказчика-Абонента подписать указанный акт, а равно при нарушении п.4.1.22 контракта, акт, подписанный представителем Поставщика-Теплоснабжающей организации, признается действительным.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8.8. При наличии субабонентов (арендаторов встроенных помещений), имеющих договор теплоснабжения с Поставщиком-Теплоснабжающей орга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низацией, Заказчик-Абонент обязан обеспечить ограничение тепловой энергии, теплоносителя и или (горячей воды) данному субабоненту (арендатору) за задолженность силами Заказчика-Абонента по заявке Поставщика-Теплоснабжающей организации в установленный срок.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8.9. При отказе от тепловой нагрузки Заказчик-Абонент отключает свои сети и 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ПС от внешней сети на границе раздела балансовой принадлежности. Заказчик-Абонент производит отключение с видимым разрывом на прямом и обратном трубопроводе и составляет с представителем Поставщика-Теплоснабжающей организации двухсторонний акт об отключени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и. В дальнейшем (при необходимости)  подключение теплопотребляющих установок производится в соответствии с порядком, установленным Правилами подключения к системам теплоснабжения (или в соответствии с порядком, установленным действующим законодательством).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8.10. При использовании доведенных лимитов, Заказчик-Абонент самостоятельно отключает свои ТПС и вызывает представителя Поставщика-Теплоснабжающей организации для ее опломбирования.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8.11. Стороны обязуются в 10-ти дневный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срок письменно извещать об изменении наименования сторон, всех реквизитов, организационно-правовой формы, ведомственной принадлежности, местонахождения организации с предоставлением подтверждающих документов, которые являются неотъемлемой частью контракта.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случае  ликвидации или реорганизации, Заказчик-Аб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онент и ликвидационная комиссия либо орган, принявший решение о ликвидации, обязан известить Поставщика-Теплоснабжающую организацию об этом не позднее, чем за месяц до ликвидации, принять меры по погашению задолженности, пени и штрафов Заказчика-Абонента.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8.12. Начало и конец отопительного сезона определяются решением администрации муниципального образования.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8.13. Стороны освобождаются от ответственности за неисполнение или ненадлежащее исполнение обязательств по настоящему контракту, если это явилось следстви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ем обстоятельств непреодолимой силы, возникших после заключения контракта, как-то: стихийные явления, забастовка, акты государственных органов власти, препятствующие выполнению условий настоящего контракта. Сторона обязана незамедлительно информировать дру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гую сторону о наступлении подобных обстоятельств в письменной форме. По требованию одной из сторон в этом случае может быть создана комиссия, определяющая возможность дальнейшего исполнения взаимных обязательств, в случаях, установленных законодательством.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8.14. Лица, ответственные за выполнение условий контракта, приведены в Приложении № 7.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9. ИМУЩЕСТВЕННАЯ ОТВЕТСТВЕННОСТЬ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9.1. Стороны несут ответственность за ненадлежащее исполнение обязательств, предусмотренных контрактом, согласно действующему законодательству.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9.1.1. В случае нарушения Заказчиком-Абонентом сроков оплаты тепловой энергии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(мощности), теплоносителя и (или) горячей воды, установленных пунктом 7.3. настоящего договора, Поставщик-Теплоснабжающая организация имеет право начислить абоненту пени, в размере, установленном при первичном нарушении в статье 15 Федерального закона от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27.07.2010 № 190-ФЗ «О теплоснабжении» для категории абонента по настоящему договору, ставки рефинансирования Центрального банка Российской Федерации, действующей на дату выставления счета на сумму плановой общей поставки тепловой энергии (мощности), тепло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носителя и (или) горячей воды в предстоящем периоде, от не выплаченной в срок суммы за каждый день просрочки, начиная со дня следующего, после истечения установленного настоящим договором срока оплаты по день уплаты этой суммы Теплоснабжающей организации.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9.1.2. В случае нарушения Заказчиком-Абонентом сроков оплаты тепловой энергии (мощности),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теплоносителя и (или) горячей воды, установленных пунктом 7.5. настоящего договора, Поставщик-Теплоснабжающая организация имеет право начислить абоненту пени, в порядке и размере, определённом Федеральным законом от 27.07.2010 № 190-ФЗ «О теплоснабжении».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9.2. В случае просрочки исполнения Заказчиком-Абонентом обязательств, предусмотренных конт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рактом, а также в иных случаях неисполнения или ненадлежащего исполнения Заказчиком-Абонентом обязательств, предусмотренных контрактом, Поставщик-Теплоснабжающая организация вправе потребовать уплаты неустоек (штрафов, пеней), в том числе законной неустойк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и, предусмотренной ФЗ от 27.07.2010 №190-ФЗ «О теплоснабжении».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тельства по день фактической оплаты. Такая пеня устанавливается контрактом в размере 1/130 (одной сто тридцатой) действующей в соответствующие периоды просрочки ставки рефинансирования Центрального банка Российской Федерации от не уплаченной в срок суммы.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9.3.Штрафы начи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сляются за ненадлежащее исполнение Сторонами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порядке, установленном Правительством Российской Федерации.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9.4. До предоставления Заказчиком-Абонентом документов об утрате прав на теплоснабжаемый объект, об отчуждении объекта (продажа, пе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редача и т.п.), актов приёма-передачи тепловых сетей, а так же иных документов, являющихся основанием для изменения или расторжения контракта, начисления за теплопотребление ведутся по условиям контракта, действующим до изменения или расторжения контракта.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9.5. Факты нарушения условий контракта, за исключением нарушений сроков и порядка расчетов,  фиксируются двухсторонними актами. Отказ Заказчика-Абонен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та от подписания акта не освобождает его от оплаты за потребленную тепловую энергию (мощность), теплоноситель и (или) горячую воду в установленном порядке, а также несения ответственности за ненадлежащее исполнение обязательств, предусмотренных контрактом.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</w:rPr>
      </w:r>
    </w:p>
    <w:p>
      <w:pPr>
        <w:ind w:left="0" w:right="0" w:firstLine="0"/>
        <w:jc w:val="center"/>
        <w:spacing w:before="100" w:after="0" w:line="240" w:lineRule="auto"/>
        <w:tabs>
          <w:tab w:val="left" w:pos="3686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10. СРОК ДЕЙСТВИЯ КОНТРАКТА И ПОРЯДОК РАССМОТРЕНИЯ СПОРОВ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10.1. Контракт вступает в силу с момента подписания и действует по </w:t>
      </w:r>
      <w:bookmarkStart w:id="0" w:name="undefined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г. включительно, а по обязательствам по оплате за потреблённую тепловую энергию (мощность), теплоноситель и (или) горячую воду, и обязательствам по ответственности сторон в части размера и оплаты неустоек - до их полного исполнения.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Условия контракта распространяются на правоотношения, возникшие с </w:t>
      </w:r>
      <w:bookmarkStart w:id="0" w:name="undefined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г. 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10.2. Все споры и разногласия, возникающие между Сторонами при исполнении настоящего контракта, разрешаются путем переговоров, в том числе путем направления претензий. Срок рассмотрения претензий не может превышать 10 дней со дня их получения.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 не урегулировании Сторонами в досудебном порядке спор передается на разрешение в  Арбитражный суд </w:t>
      </w:r>
      <w:bookmarkStart w:id="0" w:name="undefined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10.3. Настоящий контракт составлен в 2-х экземплярах, имеющих одинаковую юридическую силу.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10.4. Настоящий контракт может быть расторгнут: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11. ПРИЛОЖЕНИЯ К КОНТРАКТУ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1 – Договорной объем тепловой энергии (мощности), теплоносителя и (или) горячей воды Заказчика-Абонента.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2 – Перечень объектов Заказчика-Абонента.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3 – Перечень актов разграничения балансовой принадлежности тепловых сетей и эксплуатационной ответственности сторон.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4 – Предельно-допустимые температуры обратной сетевой воды.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5 – Сведения о приборах учета и месте их установки.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5.1. – Формат шаблона предоставление сведений о расходе/показаниях приборов учета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6 – Лимиты бюджетных обязательств.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7 – Перечень лиц, ответственных за выполнение условий контракта.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8 – Порядок ограничения и прекращения подачи тепловой энергии (мощности) теплоносителя и (или) горячей воды.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12.АДРЕСА И РЕКВИЗИТЫ СТОРОН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Теплоснабжающая организация: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Акционерное общество «Дальневосточная генерирующая компания»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ИНН 1434031363 КПП 272101001 ОКПО 76727851 ОГРН 1051401746769 от 19.12.2005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Место нахождения: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Российская Федерация, г. Хабаровск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Адрес: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680000, г. Хабаровск, ул. Фрунзе, 49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Грузоотправитель: </w:t>
      </w:r>
      <w:bookmarkStart w:id="0" w:name="undefined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ИНН/КПП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/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Адрес: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2410" w:leader="none"/>
          <w:tab w:val="left" w:pos="5245" w:leader="none"/>
          <w:tab w:val="left" w:pos="8647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Телефоны: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(приемная)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(договорной отдел)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(отдел реализации)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5529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Факс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E-mail 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val="ru-RU" w:bidi="ru-RU"/>
        </w:rPr>
        <w:t xml:space="preserve">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7655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Реквизиты для предоставления показаний приборов учета: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тел.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E-mail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Платежные реквизиты: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Акционерное общество «Дальневосточная генерирующая компания»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7088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ИНН/КПП 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/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5103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Р/счет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Кор.счет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7655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БИК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underscore"/>
        </w:tabs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Заказчик-абонент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underscor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Место нахождения, адрес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: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Адрес для корреспонденции: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5812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тел.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E-mail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2410" w:leader="none"/>
          <w:tab w:val="left" w:pos="4820" w:leader="none"/>
          <w:tab w:val="left" w:pos="7513" w:leader="none"/>
          <w:tab w:val="left" w:pos="10206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ИНН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КПП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ОКВЭД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ОКПО 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val="ru-RU" w:bidi="ru-RU"/>
        </w:rPr>
        <w:t xml:space="preserve">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4678" w:leader="none"/>
          <w:tab w:val="left" w:pos="10206" w:leader="underscor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Л/счет 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_____________________________________________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________________________________________________________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5245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Р/счет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Кор.счет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val="ru-RU" w:bidi="ru-RU"/>
        </w:rPr>
        <w:t xml:space="preserve"> 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7655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БИК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tbl>
      <w:tblPr>
        <w:tblStyle w:val="851"/>
        <w:tblW w:w="0" w:type="auto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4536"/>
      </w:tblGrid>
      <w:tr>
        <w:tblPrEx/>
        <w:trPr>
          <w:trHeight w:val="168"/>
        </w:trPr>
        <w:tc>
          <w:tcPr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  <w:t xml:space="preserve">От Поставщика-Теплоснабжающей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  <w:t xml:space="preserve">От Заказчика-Абонента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tabs>
                <w:tab w:val="left" w:pos="4606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bottom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4606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(Должность.)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bottom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bottom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“____”_______________  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 г.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“_____”______________ 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color w:val="ffffff"/>
                <w:sz w:val="18"/>
                <w:szCs w:val="18"/>
                <w:lang w:val="ru-RU" w:bidi="ar-SA"/>
              </w:rPr>
              <w:t xml:space="preserve">П                   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м.п.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                           м.п.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510" w:bottom="51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right"/>
    </w:pPr>
    <w:fldSimple w:instr="PAGE \* MERGEFORMAT">
      <w:r>
        <w:t xml:space="preserve">1</w:t>
      </w:r>
    </w:fldSimple>
    <w:r/>
    <w:r/>
  </w:p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9"/>
    <w:next w:val="849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9"/>
    <w:next w:val="849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50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50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50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50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List Paragraph"/>
    <w:basedOn w:val="849"/>
    <w:uiPriority w:val="34"/>
    <w:qFormat/>
    <w:pPr>
      <w:contextualSpacing/>
      <w:ind w:left="720"/>
    </w:pPr>
  </w:style>
  <w:style w:type="paragraph" w:styleId="854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_1340" w:customStyle="1">
    <w:name w:val="Plain Text"/>
    <w:basedOn w:val="743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1_2437" w:customStyle="1">
    <w:name w:val="Body Text"/>
    <w:basedOn w:val="743"/>
    <w:pPr>
      <w:contextualSpacing w:val="0"/>
      <w:ind w:left="0" w:right="-8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1_2438" w:customStyle="1">
    <w:name w:val="Body Text 2"/>
    <w:basedOn w:val="743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1_2926" w:customStyle="1">
    <w:name w:val="Body Text Indent"/>
    <w:basedOn w:val="743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ru-RU" w:eastAsia="zh-CN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Валентина Викторовна</dc:creator>
  <cp:keywords/>
  <dc:description/>
  <cp:lastModifiedBy>arutyunyan_vv</cp:lastModifiedBy>
  <cp:revision>5</cp:revision>
  <dcterms:created xsi:type="dcterms:W3CDTF">2020-02-26T06:20:00Z</dcterms:created>
  <dcterms:modified xsi:type="dcterms:W3CDTF">2025-06-19T02:16:04Z</dcterms:modified>
</cp:coreProperties>
</file>