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директора по </w:t>
      </w:r>
      <w:r>
        <w:rPr>
          <w:sz w:val="24"/>
          <w:szCs w:val="24"/>
        </w:rPr>
        <w:t xml:space="preserve">управлению ресурсами </w:t>
        <w:br/>
      </w: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 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2025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2"/>
        <w:ind w:left="4536"/>
        <w:keepNext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i w:val="0"/>
          <w:iCs w:val="0"/>
          <w:sz w:val="28"/>
          <w:szCs w:val="28"/>
        </w:rPr>
        <w:t xml:space="preserve">Запрос предложений</w:t>
      </w:r>
      <w:r>
        <w:rPr>
          <w:i w:val="0"/>
          <w:iCs w:val="0"/>
          <w:sz w:val="28"/>
          <w:szCs w:val="28"/>
        </w:rPr>
        <w:t xml:space="preserve"> в электронной форме,</w:t>
      </w:r>
      <w:r>
        <w:rPr>
          <w:i w:val="0"/>
          <w:iCs w:val="0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i w:val="0"/>
          <w:iCs w:val="0"/>
          <w:sz w:val="28"/>
          <w:szCs w:val="28"/>
        </w:rPr>
        <w:br/>
      </w:r>
      <w:r>
        <w:rPr>
          <w:i w:val="0"/>
          <w:iCs w:val="0"/>
          <w:sz w:val="28"/>
          <w:szCs w:val="28"/>
        </w:rPr>
        <w:t xml:space="preserve">на право заключения договора 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ОКПД2 43.99.90.190 Выполнение работ по ремонту здания восточной проходной Партизанской ГРЭС, г. Партизанск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</w:rPr>
        <w:t xml:space="preserve">Л</w:t>
      </w:r>
      <w:r>
        <w:rPr>
          <w:i w:val="0"/>
          <w:iCs w:val="0"/>
          <w:sz w:val="28"/>
          <w:szCs w:val="28"/>
        </w:rPr>
        <w:t xml:space="preserve">от №</w:t>
      </w:r>
      <w:r>
        <w:rPr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lang w:eastAsia="ru-RU"/>
        </w:rPr>
      </w:r>
      <w:r>
        <w:rPr>
          <w:rFonts w:ascii="Times New Roman" w:hAnsi="Times New Roman" w:cs="Times New Roman"/>
          <w:i w:val="0"/>
          <w:iCs w:val="0"/>
          <w:lang w:eastAsia="ru-RU"/>
        </w:rPr>
        <w:t xml:space="preserve">11039003-РЕМ ПРОД-2026-ДГК-ПГРЭС</w:t>
      </w:r>
      <w:r>
        <w:rPr>
          <w:rFonts w:ascii="Times New Roman" w:hAnsi="Times New Roman" w:cs="Times New Roman"/>
          <w:i w:val="0"/>
          <w:iCs w:val="0"/>
          <w:lang w:eastAsia="ru-RU"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52"/>
        <w:jc w:val="center"/>
        <w:keepNext/>
        <w:spacing w:before="240"/>
        <w:rPr>
          <w:rStyle w:val="1157"/>
        </w:rPr>
      </w:pPr>
      <w:r>
        <w:rPr>
          <w:rStyle w:val="1157"/>
        </w:rPr>
      </w:r>
      <w:r>
        <w:rPr>
          <w:rStyle w:val="1157"/>
        </w:rPr>
      </w:r>
      <w:r>
        <w:rPr>
          <w:rStyle w:val="1157"/>
        </w:rPr>
      </w:r>
    </w:p>
    <w:p>
      <w:pPr>
        <w:pStyle w:val="1151"/>
        <w:outlineLvl w:val="2"/>
      </w:pPr>
      <w:r>
        <w:t xml:space="preserve">Содержание</w:t>
      </w:r>
      <w:r/>
    </w:p>
    <w:p>
      <w:pPr>
        <w:pStyle w:val="1165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62"/>
          </w:rPr>
        </w:r>
        <w:r>
          <w:rPr>
            <w:rStyle w:val="1162"/>
          </w:rPr>
          <w:t xml:space="preserve">Сокращения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65"/>
        <w:tabs>
          <w:tab w:val="right" w:pos="9923" w:leader="none"/>
        </w:tabs>
      </w:pPr>
      <w:r/>
      <w:hyperlink w:tooltip="#_Toc2" w:anchor="_Toc2" w:history="1">
        <w:r>
          <w:rPr>
            <w:rStyle w:val="1162"/>
          </w:rPr>
        </w:r>
        <w:r>
          <w:rPr>
            <w:rStyle w:val="1162"/>
          </w:rPr>
          <w:t xml:space="preserve">Термины и определения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Основные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Статус настоящего раздела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Информация о проводимой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Правовой статус документов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Обжалование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Особые положения при проведении закупки с использованием ЭП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Прочие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требования к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Коллективные участники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Генеральные подрядчики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Общий 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Официальное размещение Извещения и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Подготовка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Разъяснение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Изменения </w:t>
        </w:r>
        <w:r>
          <w:rPr>
            <w:rStyle w:val="1162"/>
          </w:rPr>
          <w:t xml:space="preserve">Извещени</w:t>
        </w:r>
        <w:r>
          <w:rPr>
            <w:rStyle w:val="1162"/>
          </w:rPr>
          <w:t xml:space="preserve">я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(или)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Документаци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Подача заявок и их прием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Изменение и отзыв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 первым частям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</w:t>
        </w:r>
        <w:r>
          <w:rPr>
            <w:rStyle w:val="1162"/>
          </w:rPr>
          <w:t xml:space="preserve">первых частей </w:t>
        </w:r>
        <w:r>
          <w:rPr>
            <w:rStyle w:val="1162"/>
          </w:rPr>
          <w:t xml:space="preserve">заявок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(</w:t>
        </w:r>
        <w:r>
          <w:rPr>
            <w:rStyle w:val="1162"/>
          </w:rPr>
          <w:t xml:space="preserve">отборочная стадия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ко вторым частям заявок и ценовым предложениям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вторых частей заявок</w:t>
        </w:r>
        <w:r>
          <w:rPr>
            <w:rStyle w:val="1162"/>
          </w:rPr>
          <w:t xml:space="preserve"> (отборочная стадия)</w:t>
        </w:r>
        <w:r>
          <w:rPr>
            <w:rStyle w:val="1162"/>
          </w:rPr>
          <w:t xml:space="preserve">, в том числе (при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необходимости) проведение аккредитации,</w:t>
        </w:r>
        <w:r>
          <w:rPr>
            <w:rStyle w:val="1162"/>
          </w:rPr>
          <w:t xml:space="preserve"> и ценовых предложений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запросы разъяснений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Оценка и сопоставление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Применение </w:t>
        </w:r>
        <w:r>
          <w:rPr>
            <w:rStyle w:val="1162"/>
          </w:rPr>
          <w:t xml:space="preserve">законодательства о национальном режиме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одведение итогов закупки</w:t>
        </w:r>
        <w:r>
          <w:rPr>
            <w:rStyle w:val="1162"/>
          </w:rPr>
          <w:t xml:space="preserve"> (</w:t>
        </w:r>
        <w:r>
          <w:rPr>
            <w:rStyle w:val="1162"/>
          </w:rPr>
          <w:t xml:space="preserve">о</w:t>
        </w:r>
        <w:r>
          <w:rPr>
            <w:rStyle w:val="1162"/>
          </w:rPr>
          <w:t xml:space="preserve">пределение Победителя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Признание закупки несостоявшейся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Отказ от проведения закупки</w:t>
        </w:r>
        <w:r>
          <w:rPr>
            <w:rStyle w:val="1162"/>
          </w:rPr>
          <w:t xml:space="preserve"> (отмена закупки)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</w:t>
        </w:r>
        <w:r>
          <w:rPr>
            <w:rStyle w:val="1162"/>
          </w:rPr>
          <w:t xml:space="preserve"> проведения закупки с необходимостью обеспечения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 проведения м</w:t>
        </w:r>
        <w:r>
          <w:rPr>
            <w:rStyle w:val="1162"/>
          </w:rPr>
          <w:t xml:space="preserve">ноголотов</w:t>
        </w:r>
        <w:r>
          <w:rPr>
            <w:rStyle w:val="1162"/>
          </w:rPr>
          <w:t xml:space="preserve">ой</w:t>
        </w:r>
        <w:r>
          <w:rPr>
            <w:rStyle w:val="1162"/>
          </w:rPr>
          <w:t xml:space="preserve"> закупк</w:t>
        </w:r>
        <w:r>
          <w:rPr>
            <w:rStyle w:val="1162"/>
          </w:rPr>
          <w:t xml:space="preserve">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орядок заключения </w:t>
        </w:r>
        <w:r>
          <w:rPr>
            <w:rStyle w:val="1162"/>
          </w:rPr>
          <w:t xml:space="preserve">Д</w:t>
        </w:r>
        <w:r>
          <w:rPr>
            <w:rStyle w:val="1162"/>
          </w:rPr>
          <w:t xml:space="preserve">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Заключение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Уклонение Победителя от заключения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 – Технические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Техническим требованиям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2 – Проект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роекту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3 – 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требованиям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Обязательные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62"/>
          </w:rPr>
        </w:r>
        <w:r>
          <w:rPr>
            <w:rStyle w:val="1162"/>
            <w:highlight w:val="yellow"/>
          </w:rPr>
          <w:t xml:space="preserve">Специальные требования</w:t>
        </w:r>
        <w:r>
          <w:rPr>
            <w:rStyle w:val="1162"/>
            <w:highlight w:val="yellow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Коллективным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Генеральным подрядчикам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4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</w:t>
        </w:r>
        <w:r>
          <w:rPr>
            <w:rStyle w:val="1162"/>
          </w:rPr>
          <w:t xml:space="preserve">м</w:t>
        </w:r>
        <w:r>
          <w:rPr>
            <w:rStyle w:val="1162"/>
          </w:rPr>
          <w:t xml:space="preserve">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5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Образцам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«Заверение об обстоятельствах»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6</w:t>
        </w:r>
        <w:r>
          <w:rPr>
            <w:rStyle w:val="1162"/>
          </w:rPr>
          <w:t xml:space="preserve"> –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7</w:t>
        </w:r>
        <w:r>
          <w:rPr>
            <w:rStyle w:val="1162"/>
          </w:rPr>
          <w:t xml:space="preserve"> – Отборочные критерии рассмотрения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62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62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62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62"/>
            <w:i w:val="0"/>
            <w:iCs w:val="0"/>
            <w:shd w:val="clear" w:color="auto" w:fill="auto"/>
          </w:rPr>
          <w:t xml:space="preserve">ок</w:t>
        </w:r>
        <w:r>
          <w:rPr>
            <w:rStyle w:val="1162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62"/>
            <w:i w:val="0"/>
            <w:iCs w:val="0"/>
            <w:shd w:val="clear" w:color="auto" w:fill="auto"/>
          </w:rPr>
          <w:t xml:space="preserve">е</w:t>
        </w:r>
        <w:r>
          <w:rPr>
            <w:rStyle w:val="1162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8</w:t>
        </w:r>
        <w:r>
          <w:rPr>
            <w:rStyle w:val="1162"/>
          </w:rPr>
          <w:t xml:space="preserve"> – 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9</w:t>
        </w:r>
        <w:r>
          <w:rPr>
            <w:rStyle w:val="1162"/>
          </w:rPr>
          <w:t xml:space="preserve"> – Обоснование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Обоснованию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</w:t>
        </w:r>
        <w:r>
          <w:rPr>
            <w:rStyle w:val="1162"/>
          </w:rPr>
          <w:t xml:space="preserve">0</w:t>
        </w:r>
        <w:r>
          <w:rPr>
            <w:rStyle w:val="1162"/>
          </w:rPr>
          <w:t xml:space="preserve"> – Форма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форме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52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52"/>
        <w:keepNext/>
        <w:spacing w:before="60"/>
        <w:rPr>
          <w:rStyle w:val="1183"/>
        </w:rPr>
      </w:pPr>
      <w:r>
        <w:rPr>
          <w:rStyle w:val="1183"/>
        </w:rPr>
        <w:t xml:space="preserve">[Примечание (дополнительные удобства работы с Документацией о закупке; </w:t>
      </w:r>
      <w:r>
        <w:rPr>
          <w:rStyle w:val="1183"/>
        </w:rPr>
        <w:t xml:space="preserve">Microsoft Word | </w:t>
      </w:r>
      <w:r>
        <w:rPr>
          <w:rStyle w:val="1183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83"/>
        </w:rPr>
        <w:t xml:space="preserve">):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3"/>
        </w:rPr>
        <w:t xml:space="preserve"> </w:t>
      </w:r>
      <w:r>
        <w:rPr>
          <w:rStyle w:val="1183"/>
        </w:rPr>
        <w:t xml:space="preserve">| </w:t>
      </w:r>
      <w:r>
        <w:rPr>
          <w:rStyle w:val="1183"/>
          <w:color w:val="4472c4" w:themeColor="accent1"/>
        </w:rPr>
        <w:t xml:space="preserve">включается на вкладке «Вид» опцией «Навигатор»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переход по перекрестным и другим ссылкам осуществляется левым кликом мыши с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зажатой клавишей Ctrl, обратный возврат на место в тексте, с котор</w:t>
      </w:r>
      <w:r>
        <w:rPr>
          <w:rStyle w:val="1183"/>
        </w:rPr>
        <w:t xml:space="preserve">ого</w:t>
      </w:r>
      <w:r>
        <w:rPr>
          <w:rStyle w:val="1183"/>
        </w:rPr>
        <w:t xml:space="preserve"> был </w:t>
      </w:r>
      <w:r>
        <w:rPr>
          <w:rStyle w:val="1183"/>
        </w:rPr>
        <w:t xml:space="preserve">сделан</w:t>
      </w:r>
      <w:r>
        <w:rPr>
          <w:rStyle w:val="1183"/>
        </w:rPr>
        <w:t xml:space="preserve"> переход, осуществляется нажатием стрелки влево (←) с зажатой левой клавишей Alt</w:t>
      </w:r>
      <w:r>
        <w:rPr>
          <w:rStyle w:val="1183"/>
        </w:rPr>
        <w:t xml:space="preserve"> </w:t>
      </w:r>
      <w:r>
        <w:rPr>
          <w:rStyle w:val="1183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3"/>
        </w:rPr>
        <w:t xml:space="preserve">е</w:t>
      </w:r>
      <w:r>
        <w:rPr>
          <w:rStyle w:val="1183"/>
        </w:rPr>
        <w:t xml:space="preserve"> документа (файла) в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тексте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3"/>
        </w:rPr>
        <w:t xml:space="preserve">.]</w:t>
      </w:r>
      <w:r>
        <w:rPr>
          <w:rStyle w:val="1183"/>
        </w:rPr>
      </w:r>
      <w:r>
        <w:rPr>
          <w:rStyle w:val="1183"/>
        </w:rPr>
      </w:r>
    </w:p>
    <w:p>
      <w:pPr>
        <w:pStyle w:val="1151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52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52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52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52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52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52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52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52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5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160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52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51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52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52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52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52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52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52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52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52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52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52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0"/>
        </w:rPr>
        <w:footnoteReference w:id="3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52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46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47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48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48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</w:t>
        </w:r>
        <w:r>
          <w:rPr>
            <w:rStyle w:val="1176"/>
          </w:rPr>
          <w:t xml:space="preserve">х</w:t>
        </w:r>
        <w:r>
          <w:rPr>
            <w:rStyle w:val="1176"/>
          </w:rPr>
          <w:t xml:space="preserve"> требовани</w:t>
        </w:r>
        <w:r>
          <w:rPr>
            <w:rStyle w:val="1176"/>
          </w:rPr>
          <w:t xml:space="preserve">ях (Приложение № 1)</w:t>
        </w:r>
      </w:hyperlink>
      <w:r>
        <w:rPr>
          <w:rStyle w:val="117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48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47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</w:t>
            </w:r>
            <w:r>
              <w:rPr>
                <w:sz w:val="24"/>
                <w:szCs w:val="24"/>
              </w:rPr>
              <w:t xml:space="preserve">субъекты малого и среднего предпринимательства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Договора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 xml:space="preserve">номер лота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11039003-РЕМ ПРОД-2026-ДГК-ПГРЭС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ОКПД2 43.99.90.190 Выполнение работ по ремонту здания восточной проходной Партизанской ГРЭС, г. Партизанск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76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62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62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  <w:hyperlink r:id="rId13" w:tooltip="mailto:dgk@dgk.ru" w:history="1"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9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26-46</w:t>
            </w:r>
            <w:r>
              <w:rPr>
                <w:b w:val="0"/>
                <w:sz w:val="24"/>
                <w:szCs w:val="24"/>
              </w:rPr>
              <w:t xml:space="preserve">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По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инженер 1 кат. отдела подготовки и проведения ремонтов СП «Партизанская ГРЭС» АО «ДГК»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Степанова С.В. Тел. 8 (423) 6-36-52-52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stepanova-sv@dgk.ru</w:t>
            </w:r>
            <w:r>
              <w:rPr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94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6-23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Корнева Оксана</w:t>
            </w:r>
            <w:r>
              <w:rPr>
                <w:b w:val="0"/>
                <w:sz w:val="24"/>
                <w:szCs w:val="24"/>
              </w:rPr>
              <w:t xml:space="preserve"> Андреевна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26-46-23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5" w:tooltip="lescheva-ee@dgk.ru" w:history="1">
              <w:r>
                <w:rPr>
                  <w:rStyle w:val="1162"/>
                  <w:b w:val="0"/>
                  <w:sz w:val="24"/>
                  <w:szCs w:val="24"/>
                </w:rPr>
                <w:t xml:space="preserve">korneva-oa@dgk.ru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«03»</w:t>
            </w:r>
            <w:r>
              <w:rPr>
                <w:b/>
                <w:bCs/>
                <w:sz w:val="24"/>
                <w:szCs w:val="24"/>
              </w:rPr>
              <w:t xml:space="preserve"> декабря</w:t>
            </w:r>
            <w:r>
              <w:rPr>
                <w:b/>
                <w:bCs/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7 999 999,00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52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76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Национальный режим предоставляется.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«03»</w:t>
            </w:r>
            <w:r>
              <w:rPr>
                <w:b/>
                <w:bCs/>
                <w:sz w:val="24"/>
                <w:szCs w:val="24"/>
              </w:rPr>
              <w:t xml:space="preserve"> декабря</w:t>
            </w:r>
            <w:r>
              <w:rPr>
                <w:b/>
                <w:bCs/>
                <w:sz w:val="24"/>
                <w:szCs w:val="24"/>
              </w:rPr>
              <w:t xml:space="preserve"> 2025г.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«16»</w:t>
            </w:r>
            <w:r>
              <w:rPr>
                <w:b/>
                <w:bCs/>
                <w:sz w:val="24"/>
                <w:szCs w:val="24"/>
              </w:rPr>
              <w:t xml:space="preserve"> декабря</w:t>
            </w:r>
            <w:r>
              <w:rPr>
                <w:b/>
                <w:bCs/>
                <w:sz w:val="24"/>
                <w:szCs w:val="24"/>
              </w:rPr>
              <w:t xml:space="preserve"> 2025 г. в 16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«16» декабря 2025 г. в 16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«26» декабря 2025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</w:rPr>
              <w:t xml:space="preserve">«23» января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«23» января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692860, Приморский край, г. Партизанск, ул. Свердлова, 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Контактное лицо для приема документов: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Степанова Светлана Владимировна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b/>
                <w:bCs/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</w:pPr>
            <w:r>
              <w:rPr>
                <w:sz w:val="24"/>
                <w:szCs w:val="24"/>
              </w:rPr>
              <w:t xml:space="preserve">Не требуется.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46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47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48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48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48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Приложении № 2</w:t>
        </w:r>
      </w:hyperlink>
      <w:r>
        <w:t xml:space="preserve">.</w:t>
      </w:r>
      <w:r/>
    </w:p>
    <w:p>
      <w:pPr>
        <w:pStyle w:val="1148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7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5</w:t>
        </w:r>
      </w:hyperlink>
      <w:r>
        <w:t xml:space="preserve">.</w:t>
      </w:r>
      <w:r/>
    </w:p>
    <w:p>
      <w:pPr>
        <w:pStyle w:val="1147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48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48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48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48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48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48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48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48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47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48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48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48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49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49"/>
      </w:pPr>
      <w:r>
        <w:t xml:space="preserve">признать заявление Участника необоснованным.</w:t>
      </w:r>
      <w:r/>
    </w:p>
    <w:p>
      <w:pPr>
        <w:pStyle w:val="1148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48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49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49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52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47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48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48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48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48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48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47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48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48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48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46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47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48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48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48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Приложении № 3</w:t>
        </w:r>
      </w:hyperlink>
      <w:r>
        <w:t xml:space="preserve">:</w:t>
      </w:r>
      <w:r/>
    </w:p>
    <w:p>
      <w:pPr>
        <w:pStyle w:val="1149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49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49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47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48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48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49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49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49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49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49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49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48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48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48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48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48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49"/>
      </w:pPr>
      <w:r>
        <w:t xml:space="preserve">принимать участие в этой же закупке самостоятельно;</w:t>
      </w:r>
      <w:r/>
    </w:p>
    <w:p>
      <w:pPr>
        <w:pStyle w:val="1149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52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48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№ 3</w:t>
        </w:r>
      </w:hyperlink>
      <w:r>
        <w:rPr>
          <w:rStyle w:val="1176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48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48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47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48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48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49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49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49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52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48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48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48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47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48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7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52"/>
      </w:pPr>
      <w:r/>
      <w:bookmarkStart w:id="75" w:name="_Ref125362061"/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7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48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48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48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48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47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48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48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48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6</w:t>
        </w:r>
        <w:r>
          <w:rPr>
            <w:rStyle w:val="117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.</w:t>
      </w:r>
      <w:r/>
    </w:p>
    <w:p>
      <w:pPr>
        <w:pStyle w:val="1148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48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48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48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48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48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48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48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48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48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 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48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49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49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48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49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49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48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49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49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49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49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49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48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47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48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48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48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48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48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48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роекта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(Приложения № 2)</w:t>
        </w:r>
      </w:hyperlink>
      <w:r>
        <w:rPr>
          <w:rStyle w:val="117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48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47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48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48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49"/>
      </w:pPr>
      <w:r>
        <w:t xml:space="preserve">рассмотрения первых частей заявок;</w:t>
      </w:r>
      <w:r/>
    </w:p>
    <w:p>
      <w:pPr>
        <w:pStyle w:val="1149"/>
      </w:pPr>
      <w:r>
        <w:t xml:space="preserve">рассмотрения вторых частей заявок и ценовых предложений;</w:t>
      </w:r>
      <w:r/>
    </w:p>
    <w:p>
      <w:pPr>
        <w:pStyle w:val="1149"/>
      </w:pPr>
      <w:r>
        <w:t xml:space="preserve">подведения итогов закупки;</w:t>
      </w:r>
      <w:r/>
    </w:p>
    <w:p>
      <w:pPr>
        <w:pStyle w:val="1152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48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48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48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47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48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48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48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48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48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48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48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47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48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48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47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48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48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47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48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</w:t>
        </w:r>
        <w:r>
          <w:rPr>
            <w:rStyle w:val="1176"/>
          </w:rPr>
          <w:t xml:space="preserve">тборочным критериям</w:t>
        </w:r>
        <w:r>
          <w:rPr>
            <w:rStyle w:val="1176"/>
          </w:rPr>
          <w:t xml:space="preserve"> рассмотрения заявок (Приложение № </w:t>
        </w:r>
        <w:r>
          <w:rPr>
            <w:rStyle w:val="1176"/>
          </w:rPr>
          <w:t xml:space="preserve">7</w:t>
        </w:r>
        <w:r>
          <w:rPr>
            <w:rStyle w:val="1176"/>
          </w:rPr>
          <w:t xml:space="preserve">)</w:t>
        </w:r>
      </w:hyperlink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48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49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60"/>
        </w:rPr>
        <w:footnoteReference w:id="4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50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49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49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48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60"/>
        </w:rPr>
        <w:footnoteReference w:id="5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49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48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47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48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48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49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49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52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48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49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60"/>
        </w:rPr>
        <w:footnoteReference w:id="6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50"/>
      </w:pPr>
      <w:r>
        <w:t xml:space="preserve">недостоверных сведений</w:t>
      </w:r>
      <w:r>
        <w:rPr>
          <w:rStyle w:val="1160"/>
        </w:rPr>
        <w:footnoteReference w:id="7"/>
      </w:r>
      <w:r>
        <w:t xml:space="preserve"> или намеренно искаженной информации или документов;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50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49"/>
      </w:pPr>
      <w:r>
        <w:t xml:space="preserve">несоответствие Участников требованиям Документации о закупке;</w:t>
      </w:r>
      <w:r/>
    </w:p>
    <w:p>
      <w:pPr>
        <w:pStyle w:val="1149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49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48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0"/>
        </w:rPr>
        <w:footnoteReference w:id="8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49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49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48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49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50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50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50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49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49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60"/>
        </w:rPr>
        <w:footnoteReference w:id="9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48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48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48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48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48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Порядком и критериями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48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48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48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47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48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60"/>
        </w:rPr>
        <w:footnoteReference w:id="10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48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47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48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48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48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48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0"/>
        </w:rPr>
        <w:footnoteReference w:id="11"/>
      </w:r>
      <w:r>
        <w:t xml:space="preserve">:</w:t>
      </w:r>
      <w:bookmarkEnd w:id="157"/>
      <w:r/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49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49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49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49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49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49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52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48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48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48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47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48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49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49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9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48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48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49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49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47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48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48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48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47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48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48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48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0"/>
        </w:rPr>
        <w:footnoteReference w:id="12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48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48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48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48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49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49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49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49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48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48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48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48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48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48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49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</w:t>
        </w:r>
      </w:hyperlink>
      <w:r>
        <w:t xml:space="preserve">).</w:t>
      </w:r>
      <w:r/>
    </w:p>
    <w:p>
      <w:pPr>
        <w:pStyle w:val="1148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49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49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49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49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49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48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47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48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48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48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48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49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49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48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46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47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48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47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48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48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48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5</w:t>
        </w:r>
      </w:hyperlink>
      <w:r>
        <w:t xml:space="preserve">.</w:t>
      </w:r>
      <w:r/>
    </w:p>
    <w:p>
      <w:pPr>
        <w:pStyle w:val="1148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60"/>
        </w:rPr>
        <w:footnoteReference w:id="13"/>
      </w:r>
      <w:r>
        <w:t xml:space="preserve">:</w:t>
      </w:r>
      <w:bookmarkEnd w:id="197"/>
      <w:r/>
      <w:r/>
    </w:p>
    <w:p>
      <w:pPr>
        <w:pStyle w:val="1149"/>
        <w:keepNext/>
      </w:pPr>
      <w:r>
        <w:t xml:space="preserve">для юридического лица:</w:t>
      </w:r>
      <w:r/>
    </w:p>
    <w:p>
      <w:pPr>
        <w:pStyle w:val="1150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50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50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49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49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49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48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48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48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49"/>
      </w:pPr>
      <w:r>
        <w:t xml:space="preserve">итоговый протокол по результатам закупки;</w:t>
      </w:r>
      <w:r/>
    </w:p>
    <w:p>
      <w:pPr>
        <w:pStyle w:val="1149"/>
      </w:pPr>
      <w:r>
        <w:t xml:space="preserve">Извещение и Документация о закупке со всеми изменениями;</w:t>
      </w:r>
      <w:r/>
    </w:p>
    <w:p>
      <w:pPr>
        <w:pStyle w:val="1149"/>
      </w:pPr>
      <w:r>
        <w:t xml:space="preserve">заявка Победителя со всеми дополнениями и разъяснениями.</w:t>
      </w:r>
      <w:r/>
    </w:p>
    <w:p>
      <w:pPr>
        <w:pStyle w:val="1148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48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48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48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48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47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48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49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49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;</w:t>
      </w:r>
      <w:r/>
    </w:p>
    <w:p>
      <w:pPr>
        <w:pStyle w:val="1149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76"/>
          </w:rPr>
          <w:t xml:space="preserve">Приложения 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 </w:t>
        </w:r>
        <w:r>
          <w:rPr>
            <w:rStyle w:val="1176"/>
          </w:rPr>
          <w:t xml:space="preserve">– </w:t>
        </w:r>
        <w:r>
          <w:rPr>
            <w:rStyle w:val="1176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49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49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52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46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47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48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46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47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48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48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48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48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52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47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48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47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</w:t>
              </w:r>
              <w:r>
                <w:rPr>
                  <w:rStyle w:val="1176"/>
                </w:rPr>
                <w:t xml:space="preserve"> </w:t>
              </w:r>
              <w:r>
                <w:rPr>
                  <w:rStyle w:val="1176"/>
                </w:rPr>
                <w:t xml:space="preserve">1</w:t>
              </w:r>
              <w:r>
                <w:rPr>
                  <w:rStyle w:val="1176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60"/>
              </w:rPr>
              <w:footnoteReference w:id="14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60"/>
              </w:rPr>
              <w:footnoteReference w:id="15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47"/>
        <w:spacing w:after="120"/>
        <w:rPr>
          <w:highlight w:val="yellow"/>
        </w:rPr>
      </w:pPr>
      <w:r/>
      <w:bookmarkStart w:id="404" w:name="_Toc47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4"/>
      <w:r>
        <w:rPr>
          <w:highlight w:val="yellow"/>
        </w:rPr>
      </w:r>
      <w:r>
        <w:rPr>
          <w:highlight w:val="yellow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Специальные требования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jc w:val="both"/>
            </w:pPr>
            <w:r>
              <w:t xml:space="preserve">Специальные требования не установлены.</w:t>
            </w:r>
            <w:r/>
          </w:p>
        </w:tc>
      </w:tr>
    </w:tbl>
    <w:p>
      <w:pPr>
        <w:pStyle w:val="1147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47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47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48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46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47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48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48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48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147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48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48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48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48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146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47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48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и</w:t>
        </w:r>
        <w:r>
          <w:rPr>
            <w:rStyle w:val="1176"/>
          </w:rPr>
          <w:t xml:space="preserve">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7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Календарный график (форма 5)</w:t>
            </w:r>
            <w:r/>
          </w:p>
          <w:p>
            <w:pPr>
              <w:pStyle w:val="1152"/>
            </w:pP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rPr>
                <w:rStyle w:val="1176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</w:t>
              </w:r>
              <w:r>
                <w:rPr>
                  <w:rStyle w:val="1176"/>
                </w:rPr>
                <w:t xml:space="preserve">е</w:t>
              </w:r>
              <w:r>
                <w:rPr>
                  <w:rStyle w:val="1176"/>
                </w:rPr>
                <w:t xml:space="preserve"> и критери</w:t>
              </w:r>
              <w:r>
                <w:rPr>
                  <w:rStyle w:val="1176"/>
                </w:rPr>
                <w:t xml:space="preserve">ях</w:t>
              </w:r>
              <w:r>
                <w:rPr>
                  <w:rStyle w:val="1176"/>
                </w:rPr>
                <w:t xml:space="preserve"> оценки и сопоставления заявок</w:t>
              </w:r>
              <w:r>
                <w:rPr>
                  <w:rStyle w:val="1176"/>
                </w:rPr>
                <w:t xml:space="preserve"> (Приложение № </w:t>
              </w:r>
              <w:r>
                <w:rPr>
                  <w:rStyle w:val="1176"/>
                </w:rPr>
                <w:t xml:space="preserve">8</w:t>
              </w:r>
              <w:r>
                <w:rPr>
                  <w:rStyle w:val="1176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48"/>
        <w:rPr>
          <w:rStyle w:val="1157"/>
          <w:i w:val="0"/>
          <w:iCs w:val="0"/>
          <w:shd w:val="clear" w:color="auto" w:fill="auto"/>
        </w:rPr>
      </w:pP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7"/>
          <w:i w:val="0"/>
          <w:iCs w:val="0"/>
          <w:shd w:val="clear" w:color="auto" w:fill="auto"/>
        </w:rPr>
        <w:t xml:space="preserve"> </w:t>
      </w:r>
      <w:r>
        <w:rPr>
          <w:rStyle w:val="1157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rPr>
          <w:rStyle w:val="1157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46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6" w:name="_Toc59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57"/>
          <w:i w:val="0"/>
          <w:iCs w:val="0"/>
          <w:shd w:val="clear" w:color="auto" w:fill="auto"/>
        </w:rPr>
        <w:t xml:space="preserve">первых частей </w:t>
      </w:r>
      <w:r>
        <w:rPr>
          <w:rStyle w:val="1157"/>
          <w:i w:val="0"/>
          <w:iCs w:val="0"/>
          <w:shd w:val="clear" w:color="auto" w:fill="auto"/>
        </w:rPr>
        <w:t xml:space="preserve">заявок</w:t>
      </w:r>
      <w:r>
        <w:rPr>
          <w:rStyle w:val="1157"/>
          <w:i w:val="0"/>
          <w:iCs w:val="0"/>
          <w:shd w:val="clear" w:color="auto" w:fill="auto"/>
        </w:rPr>
      </w:r>
      <w:bookmarkEnd w:id="416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rPr>
                <w:sz w:val="26"/>
                <w:szCs w:val="26"/>
              </w:rPr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57"/>
          <w:i w:val="0"/>
          <w:iCs w:val="0"/>
          <w:shd w:val="clear" w:color="auto" w:fill="auto"/>
        </w:rPr>
      </w:r>
      <w:bookmarkEnd w:id="417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52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52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8" w:name="_Toc61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57"/>
          <w:i w:val="0"/>
          <w:iCs w:val="0"/>
          <w:shd w:val="clear" w:color="auto" w:fill="auto"/>
        </w:rPr>
      </w:r>
      <w:bookmarkEnd w:id="418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52"/>
              <w:jc w:val="center"/>
              <w:rPr>
                <w:rStyle w:val="1176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76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7"/>
        <w:rPr>
          <w:rStyle w:val="1157"/>
          <w:i w:val="0"/>
          <w:iCs w:val="0"/>
          <w:shd w:val="clear" w:color="auto" w:fill="auto"/>
        </w:rPr>
      </w:pPr>
      <w:r/>
      <w:bookmarkStart w:id="419" w:name="_Toc62"/>
      <w:r>
        <w:rPr>
          <w:rStyle w:val="1157"/>
          <w:i w:val="0"/>
          <w:iCs w:val="0"/>
          <w:shd w:val="clear" w:color="auto" w:fill="auto"/>
        </w:rPr>
        <w:t xml:space="preserve">Дополнительные</w:t>
      </w:r>
      <w:r>
        <w:rPr>
          <w:rStyle w:val="1157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57"/>
          <w:i w:val="0"/>
          <w:iCs w:val="0"/>
          <w:shd w:val="clear" w:color="auto" w:fill="auto"/>
        </w:rPr>
        <w:t xml:space="preserve">ок</w:t>
      </w:r>
      <w:r>
        <w:rPr>
          <w:rStyle w:val="1157"/>
          <w:i w:val="0"/>
          <w:iCs w:val="0"/>
          <w:shd w:val="clear" w:color="auto" w:fill="auto"/>
        </w:rPr>
        <w:t xml:space="preserve"> на соответстви</w:t>
      </w: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57"/>
          <w:i w:val="0"/>
          <w:iCs w:val="0"/>
          <w:shd w:val="clear" w:color="auto" w:fill="auto"/>
        </w:rPr>
      </w:r>
      <w:bookmarkEnd w:id="419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2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52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52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47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48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1152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ем больше опыт выполнения аналогичных профилю закупки работ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ремонт кровли)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за 5 лет предшествующих дате подачи заявки, с учетом правопреемственности. Опыт оценивается и является предпочтительным, отсутстви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е опыта не будет являться основанием для отклонения заявки Участника.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орядок осуществления оценки (значение оцениваемого параметра), в зависимости от предоставленных в i-ой заявке сведений (в Справке об опыте Участника по установленной в Документации о закупке форм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е, с приложением подтверждающих документов по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ремонту помещений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за последние 5 лет, а именно: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копии договоров, подписанных с обеих сторон;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копии актов приемки выполненных работ КС-2, подписанных с обеих сторон и скрепленных печатями каждой из сторон договора;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и/или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 рассмотрению не принимаются подтверждающие документы, не указанные в «Справке об опыте Участника», а также све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дения,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не позволяющие явным (однозначным) образом определить опыт Участника.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2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60"/>
                <w:rFonts w:ascii="Times New Roman" w:hAnsi="Times New Roman" w:eastAsia="Times New Roman" w:cs="Times New Roman"/>
                <w:sz w:val="20"/>
                <w:szCs w:val="20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5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62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1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1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48"/>
        <w:numPr>
          <w:ilvl w:val="0"/>
          <w:numId w:val="0"/>
        </w:numPr>
      </w:pPr>
      <w:r/>
      <w:r/>
    </w:p>
    <w:p>
      <w:pPr>
        <w:pStyle w:val="1148"/>
        <w:numPr>
          <w:ilvl w:val="0"/>
          <w:numId w:val="0"/>
        </w:numPr>
      </w:pPr>
      <w:r/>
      <w:r/>
    </w:p>
    <w:p>
      <w:pPr>
        <w:pStyle w:val="1148"/>
        <w:numPr>
          <w:ilvl w:val="0"/>
          <w:numId w:val="0"/>
        </w:numPr>
      </w:pPr>
      <w:r/>
      <w:r/>
    </w:p>
    <w:p>
      <w:pPr>
        <w:pStyle w:val="1148"/>
        <w:numPr>
          <w:ilvl w:val="0"/>
          <w:numId w:val="0"/>
        </w:numPr>
      </w:pPr>
      <w:r/>
      <w:r/>
    </w:p>
    <w:p>
      <w:pPr>
        <w:pStyle w:val="1148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48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47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48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46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47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48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5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5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1"/>
        <w:rPr>
          <w:sz w:val="20"/>
          <w:szCs w:val="20"/>
        </w:rPr>
      </w:pPr>
      <w:r>
        <w:rPr>
          <w:rStyle w:val="1160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161"/>
      </w:pPr>
      <w:r>
        <w:rPr>
          <w:rStyle w:val="116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158"/>
        <w:ind w:left="567" w:hanging="567"/>
        <w:jc w:val="both"/>
        <w:rPr>
          <w:sz w:val="22"/>
        </w:rPr>
      </w:pPr>
      <w:r>
        <w:rPr>
          <w:rStyle w:val="116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161"/>
      </w:pPr>
      <w:r>
        <w:rPr>
          <w:rStyle w:val="116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158"/>
      </w:pPr>
      <w:r>
        <w:rPr>
          <w:rStyle w:val="1160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9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4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8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9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00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201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202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0">
    <w:name w:val="Heading 1 Char"/>
    <w:basedOn w:val="1143"/>
    <w:link w:val="1140"/>
    <w:uiPriority w:val="9"/>
    <w:rPr>
      <w:rFonts w:ascii="Arial" w:hAnsi="Arial" w:eastAsia="Arial" w:cs="Arial"/>
      <w:sz w:val="40"/>
      <w:szCs w:val="40"/>
    </w:rPr>
  </w:style>
  <w:style w:type="character" w:styleId="981">
    <w:name w:val="Heading 2 Char"/>
    <w:basedOn w:val="1143"/>
    <w:link w:val="1141"/>
    <w:uiPriority w:val="9"/>
    <w:rPr>
      <w:rFonts w:ascii="Arial" w:hAnsi="Arial" w:eastAsia="Arial" w:cs="Arial"/>
      <w:sz w:val="34"/>
    </w:rPr>
  </w:style>
  <w:style w:type="character" w:styleId="982">
    <w:name w:val="Heading 3 Char"/>
    <w:basedOn w:val="1143"/>
    <w:link w:val="1142"/>
    <w:uiPriority w:val="9"/>
    <w:rPr>
      <w:rFonts w:ascii="Arial" w:hAnsi="Arial" w:eastAsia="Arial" w:cs="Arial"/>
      <w:sz w:val="30"/>
      <w:szCs w:val="30"/>
    </w:rPr>
  </w:style>
  <w:style w:type="paragraph" w:styleId="983">
    <w:name w:val="Heading 4"/>
    <w:basedOn w:val="1139"/>
    <w:next w:val="1139"/>
    <w:link w:val="9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4">
    <w:name w:val="Heading 4 Char"/>
    <w:basedOn w:val="1143"/>
    <w:link w:val="983"/>
    <w:uiPriority w:val="9"/>
    <w:rPr>
      <w:rFonts w:ascii="Arial" w:hAnsi="Arial" w:eastAsia="Arial" w:cs="Arial"/>
      <w:b/>
      <w:bCs/>
      <w:sz w:val="26"/>
      <w:szCs w:val="26"/>
    </w:rPr>
  </w:style>
  <w:style w:type="paragraph" w:styleId="985">
    <w:name w:val="Heading 5"/>
    <w:basedOn w:val="1139"/>
    <w:next w:val="1139"/>
    <w:link w:val="9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6">
    <w:name w:val="Heading 5 Char"/>
    <w:basedOn w:val="1143"/>
    <w:link w:val="985"/>
    <w:uiPriority w:val="9"/>
    <w:rPr>
      <w:rFonts w:ascii="Arial" w:hAnsi="Arial" w:eastAsia="Arial" w:cs="Arial"/>
      <w:b/>
      <w:bCs/>
      <w:sz w:val="24"/>
      <w:szCs w:val="24"/>
    </w:rPr>
  </w:style>
  <w:style w:type="paragraph" w:styleId="987">
    <w:name w:val="Heading 6"/>
    <w:basedOn w:val="1139"/>
    <w:next w:val="1139"/>
    <w:link w:val="9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8">
    <w:name w:val="Heading 6 Char"/>
    <w:basedOn w:val="1143"/>
    <w:link w:val="987"/>
    <w:uiPriority w:val="9"/>
    <w:rPr>
      <w:rFonts w:ascii="Arial" w:hAnsi="Arial" w:eastAsia="Arial" w:cs="Arial"/>
      <w:b/>
      <w:bCs/>
      <w:sz w:val="22"/>
      <w:szCs w:val="22"/>
    </w:rPr>
  </w:style>
  <w:style w:type="paragraph" w:styleId="989">
    <w:name w:val="Heading 7"/>
    <w:basedOn w:val="1139"/>
    <w:next w:val="1139"/>
    <w:link w:val="9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0">
    <w:name w:val="Heading 7 Char"/>
    <w:basedOn w:val="1143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1">
    <w:name w:val="Heading 8"/>
    <w:basedOn w:val="1139"/>
    <w:next w:val="1139"/>
    <w:link w:val="9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2">
    <w:name w:val="Heading 8 Char"/>
    <w:basedOn w:val="1143"/>
    <w:link w:val="991"/>
    <w:uiPriority w:val="9"/>
    <w:rPr>
      <w:rFonts w:ascii="Arial" w:hAnsi="Arial" w:eastAsia="Arial" w:cs="Arial"/>
      <w:i/>
      <w:iCs/>
      <w:sz w:val="22"/>
      <w:szCs w:val="22"/>
    </w:rPr>
  </w:style>
  <w:style w:type="paragraph" w:styleId="993">
    <w:name w:val="Heading 9"/>
    <w:basedOn w:val="1139"/>
    <w:next w:val="1139"/>
    <w:link w:val="9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4">
    <w:name w:val="Heading 9 Char"/>
    <w:basedOn w:val="1143"/>
    <w:link w:val="993"/>
    <w:uiPriority w:val="9"/>
    <w:rPr>
      <w:rFonts w:ascii="Arial" w:hAnsi="Arial" w:eastAsia="Arial" w:cs="Arial"/>
      <w:i/>
      <w:iCs/>
      <w:sz w:val="21"/>
      <w:szCs w:val="21"/>
    </w:rPr>
  </w:style>
  <w:style w:type="paragraph" w:styleId="995">
    <w:name w:val="No Spacing"/>
    <w:uiPriority w:val="1"/>
    <w:qFormat/>
    <w:pPr>
      <w:spacing w:before="0" w:after="0" w:line="240" w:lineRule="auto"/>
    </w:pPr>
  </w:style>
  <w:style w:type="paragraph" w:styleId="996">
    <w:name w:val="Title"/>
    <w:basedOn w:val="1139"/>
    <w:next w:val="1139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>
    <w:name w:val="Title Char"/>
    <w:basedOn w:val="1143"/>
    <w:link w:val="996"/>
    <w:uiPriority w:val="10"/>
    <w:rPr>
      <w:sz w:val="48"/>
      <w:szCs w:val="48"/>
    </w:rPr>
  </w:style>
  <w:style w:type="paragraph" w:styleId="998">
    <w:name w:val="Subtitle"/>
    <w:basedOn w:val="1139"/>
    <w:next w:val="1139"/>
    <w:link w:val="999"/>
    <w:uiPriority w:val="11"/>
    <w:qFormat/>
    <w:pPr>
      <w:spacing w:before="200" w:after="200"/>
    </w:pPr>
    <w:rPr>
      <w:sz w:val="24"/>
      <w:szCs w:val="24"/>
    </w:rPr>
  </w:style>
  <w:style w:type="character" w:styleId="999">
    <w:name w:val="Subtitle Char"/>
    <w:basedOn w:val="1143"/>
    <w:link w:val="998"/>
    <w:uiPriority w:val="11"/>
    <w:rPr>
      <w:sz w:val="24"/>
      <w:szCs w:val="24"/>
    </w:rPr>
  </w:style>
  <w:style w:type="paragraph" w:styleId="1000">
    <w:name w:val="Quote"/>
    <w:basedOn w:val="1139"/>
    <w:next w:val="1139"/>
    <w:link w:val="1001"/>
    <w:uiPriority w:val="29"/>
    <w:qFormat/>
    <w:pPr>
      <w:ind w:left="720" w:right="720"/>
    </w:pPr>
    <w:rPr>
      <w:i/>
    </w:rPr>
  </w:style>
  <w:style w:type="character" w:styleId="1001">
    <w:name w:val="Quote Char"/>
    <w:link w:val="1000"/>
    <w:uiPriority w:val="29"/>
    <w:rPr>
      <w:i/>
    </w:rPr>
  </w:style>
  <w:style w:type="paragraph" w:styleId="1002">
    <w:name w:val="Intense Quote"/>
    <w:basedOn w:val="1139"/>
    <w:next w:val="1139"/>
    <w:link w:val="10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>
    <w:name w:val="Intense Quote Char"/>
    <w:link w:val="1002"/>
    <w:uiPriority w:val="30"/>
    <w:rPr>
      <w:i/>
    </w:rPr>
  </w:style>
  <w:style w:type="character" w:styleId="1004">
    <w:name w:val="Header Char"/>
    <w:basedOn w:val="1143"/>
    <w:link w:val="1153"/>
    <w:uiPriority w:val="99"/>
  </w:style>
  <w:style w:type="character" w:styleId="1005">
    <w:name w:val="Footer Char"/>
    <w:basedOn w:val="1143"/>
    <w:link w:val="1155"/>
    <w:uiPriority w:val="99"/>
  </w:style>
  <w:style w:type="paragraph" w:styleId="1006">
    <w:name w:val="Caption"/>
    <w:basedOn w:val="1139"/>
    <w:next w:val="1139"/>
    <w:link w:val="10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7">
    <w:name w:val="Caption Char"/>
    <w:basedOn w:val="1006"/>
    <w:link w:val="1155"/>
    <w:uiPriority w:val="99"/>
  </w:style>
  <w:style w:type="table" w:styleId="1008">
    <w:name w:val="Table Grid Light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>
    <w:name w:val="Plain Table 1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0">
    <w:name w:val="Plain Table 2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1">
    <w:name w:val="Plain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2">
    <w:name w:val="Plain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Plain Table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4">
    <w:name w:val="Grid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6">
    <w:name w:val="Grid Table 4 - Accent 1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7">
    <w:name w:val="Grid Table 4 - Accent 2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8">
    <w:name w:val="Grid Table 4 - Accent 3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9">
    <w:name w:val="Grid Table 4 - Accent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0">
    <w:name w:val="Grid Table 4 - Accent 5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1">
    <w:name w:val="Grid Table 4 - Accent 6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2">
    <w:name w:val="Grid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3">
    <w:name w:val="Grid Table 5 Dark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4">
    <w:name w:val="Grid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46">
    <w:name w:val="Grid Table 5 Dark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7">
    <w:name w:val="Grid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8">
    <w:name w:val="Grid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9">
    <w:name w:val="Grid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0">
    <w:name w:val="Grid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1">
    <w:name w:val="Grid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2">
    <w:name w:val="Grid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3">
    <w:name w:val="Grid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4">
    <w:name w:val="Grid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5">
    <w:name w:val="Grid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6">
    <w:name w:val="Grid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1">
    <w:name w:val="List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2">
    <w:name w:val="List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3">
    <w:name w:val="List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4">
    <w:name w:val="List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5">
    <w:name w:val="List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6">
    <w:name w:val="List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7">
    <w:name w:val="List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9">
    <w:name w:val="List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0">
    <w:name w:val="List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1">
    <w:name w:val="List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2">
    <w:name w:val="List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3">
    <w:name w:val="List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4">
    <w:name w:val="List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5">
    <w:name w:val="List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6">
    <w:name w:val="List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7">
    <w:name w:val="List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8">
    <w:name w:val="List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9">
    <w:name w:val="List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0">
    <w:name w:val="List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1">
    <w:name w:val="List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2">
    <w:name w:val="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3">
    <w:name w:val="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4">
    <w:name w:val="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5">
    <w:name w:val="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6">
    <w:name w:val="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7">
    <w:name w:val="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8">
    <w:name w:val="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9">
    <w:name w:val="Bordered &amp; 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0">
    <w:name w:val="Bordered &amp; 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1">
    <w:name w:val="Bordered &amp; 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2">
    <w:name w:val="Bordered &amp; 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3">
    <w:name w:val="Bordered &amp; 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4">
    <w:name w:val="Bordered &amp; 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5">
    <w:name w:val="Bordered &amp; 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6">
    <w:name w:val="Bordered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7">
    <w:name w:val="Bordered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8">
    <w:name w:val="Bordered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9">
    <w:name w:val="Bordered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0">
    <w:name w:val="Bordered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1">
    <w:name w:val="Bordered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2">
    <w:name w:val="Bordered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3">
    <w:name w:val="Footnote Text Char"/>
    <w:link w:val="1158"/>
    <w:uiPriority w:val="99"/>
    <w:rPr>
      <w:sz w:val="18"/>
    </w:rPr>
  </w:style>
  <w:style w:type="paragraph" w:styleId="1134">
    <w:name w:val="endnote text"/>
    <w:basedOn w:val="1139"/>
    <w:link w:val="1135"/>
    <w:uiPriority w:val="99"/>
    <w:semiHidden/>
    <w:unhideWhenUsed/>
    <w:pPr>
      <w:spacing w:after="0" w:line="240" w:lineRule="auto"/>
    </w:pPr>
    <w:rPr>
      <w:sz w:val="20"/>
    </w:rPr>
  </w:style>
  <w:style w:type="character" w:styleId="1135">
    <w:name w:val="Endnote Text Char"/>
    <w:link w:val="1134"/>
    <w:uiPriority w:val="99"/>
    <w:rPr>
      <w:sz w:val="20"/>
    </w:rPr>
  </w:style>
  <w:style w:type="character" w:styleId="1136">
    <w:name w:val="endnote reference"/>
    <w:basedOn w:val="1143"/>
    <w:uiPriority w:val="99"/>
    <w:semiHidden/>
    <w:unhideWhenUsed/>
    <w:rPr>
      <w:vertAlign w:val="superscript"/>
    </w:rPr>
  </w:style>
  <w:style w:type="paragraph" w:styleId="1137">
    <w:name w:val="TOC Heading"/>
    <w:uiPriority w:val="39"/>
    <w:unhideWhenUsed/>
  </w:style>
  <w:style w:type="paragraph" w:styleId="1138">
    <w:name w:val="table of figures"/>
    <w:basedOn w:val="1139"/>
    <w:next w:val="1139"/>
    <w:uiPriority w:val="99"/>
    <w:unhideWhenUsed/>
    <w:pPr>
      <w:spacing w:after="0" w:afterAutospacing="0"/>
    </w:pPr>
  </w:style>
  <w:style w:type="paragraph" w:styleId="1139" w:default="1">
    <w:name w:val="Normal"/>
    <w:qFormat/>
  </w:style>
  <w:style w:type="paragraph" w:styleId="1140">
    <w:name w:val="Heading 1"/>
    <w:basedOn w:val="1139"/>
    <w:next w:val="1139"/>
    <w:link w:val="1191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1">
    <w:name w:val="Heading 2"/>
    <w:basedOn w:val="1139"/>
    <w:next w:val="1139"/>
    <w:link w:val="1192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2">
    <w:name w:val="Heading 3"/>
    <w:basedOn w:val="1139"/>
    <w:next w:val="1139"/>
    <w:link w:val="1193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3" w:default="1">
    <w:name w:val="Default Paragraph Font"/>
    <w:uiPriority w:val="1"/>
    <w:semiHidden/>
    <w:unhideWhenUsed/>
  </w:style>
  <w:style w:type="table" w:styleId="11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5" w:default="1">
    <w:name w:val="No List"/>
    <w:uiPriority w:val="99"/>
    <w:semiHidden/>
    <w:unhideWhenUsed/>
  </w:style>
  <w:style w:type="paragraph" w:styleId="1146" w:customStyle="1">
    <w:name w:val="[РГ] Раздел"/>
    <w:basedOn w:val="1139"/>
    <w:next w:val="114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7" w:customStyle="1">
    <w:name w:val="[РГ] Подраздел"/>
    <w:basedOn w:val="1139"/>
    <w:next w:val="114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8" w:customStyle="1">
    <w:name w:val="[РГ] Пункт"/>
    <w:basedOn w:val="1139"/>
    <w:qFormat/>
    <w:pPr>
      <w:numPr>
        <w:ilvl w:val="2"/>
        <w:numId w:val="1"/>
      </w:numPr>
      <w:jc w:val="both"/>
      <w:outlineLvl w:val="2"/>
    </w:pPr>
  </w:style>
  <w:style w:type="paragraph" w:styleId="1149" w:customStyle="1">
    <w:name w:val="[РГ] Подпункт"/>
    <w:basedOn w:val="1139"/>
    <w:qFormat/>
    <w:pPr>
      <w:numPr>
        <w:ilvl w:val="3"/>
        <w:numId w:val="1"/>
      </w:numPr>
      <w:jc w:val="both"/>
      <w:outlineLvl w:val="3"/>
    </w:pPr>
  </w:style>
  <w:style w:type="paragraph" w:styleId="1150" w:customStyle="1">
    <w:name w:val="[РГ] Перечисление"/>
    <w:basedOn w:val="1139"/>
    <w:qFormat/>
    <w:pPr>
      <w:numPr>
        <w:ilvl w:val="4"/>
        <w:numId w:val="1"/>
      </w:numPr>
      <w:jc w:val="both"/>
      <w:outlineLvl w:val="4"/>
    </w:pPr>
  </w:style>
  <w:style w:type="paragraph" w:styleId="1151" w:customStyle="1">
    <w:name w:val="[РГ] Заголовок"/>
    <w:basedOn w:val="1139"/>
    <w:next w:val="115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2" w:customStyle="1">
    <w:name w:val="[РГ] Текст"/>
    <w:basedOn w:val="1139"/>
    <w:qFormat/>
    <w:pPr>
      <w:jc w:val="both"/>
    </w:pPr>
  </w:style>
  <w:style w:type="paragraph" w:styleId="1153">
    <w:name w:val="Header"/>
    <w:basedOn w:val="1139"/>
    <w:link w:val="1154"/>
    <w:uiPriority w:val="99"/>
    <w:unhideWhenUsed/>
    <w:pPr>
      <w:jc w:val="center"/>
      <w:spacing w:before="0" w:after="120"/>
    </w:pPr>
  </w:style>
  <w:style w:type="character" w:styleId="1154" w:customStyle="1">
    <w:name w:val="Верхний колонтитул Знак"/>
    <w:basedOn w:val="1143"/>
    <w:link w:val="1153"/>
    <w:uiPriority w:val="99"/>
  </w:style>
  <w:style w:type="paragraph" w:styleId="1155">
    <w:name w:val="Footer"/>
    <w:basedOn w:val="1139"/>
    <w:link w:val="1156"/>
    <w:unhideWhenUsed/>
    <w:pPr>
      <w:jc w:val="right"/>
    </w:pPr>
  </w:style>
  <w:style w:type="character" w:styleId="1156" w:customStyle="1">
    <w:name w:val="Нижний колонтитул Знак"/>
    <w:basedOn w:val="1143"/>
    <w:link w:val="1155"/>
    <w:uiPriority w:val="99"/>
  </w:style>
  <w:style w:type="character" w:styleId="1157" w:customStyle="1">
    <w:name w:val="[РГ] Инструкция для организатора"/>
    <w:basedOn w:val="1143"/>
    <w:uiPriority w:val="1"/>
    <w:qFormat/>
    <w:rPr>
      <w:i/>
      <w:iCs/>
      <w:shd w:val="clear" w:color="auto" w:fill="ffff99"/>
      <w:lang w:val="ru-RU"/>
    </w:rPr>
  </w:style>
  <w:style w:type="paragraph" w:styleId="1158">
    <w:name w:val="footnote text"/>
    <w:basedOn w:val="1139"/>
    <w:link w:val="1159"/>
    <w:uiPriority w:val="99"/>
    <w:semiHidden/>
    <w:unhideWhenUsed/>
    <w:pPr>
      <w:spacing w:before="0"/>
    </w:pPr>
    <w:rPr>
      <w:sz w:val="20"/>
      <w:szCs w:val="20"/>
    </w:rPr>
  </w:style>
  <w:style w:type="character" w:styleId="1159" w:customStyle="1">
    <w:name w:val="Текст сноски Знак"/>
    <w:basedOn w:val="1143"/>
    <w:link w:val="1158"/>
    <w:uiPriority w:val="99"/>
    <w:semiHidden/>
    <w:rPr>
      <w:sz w:val="20"/>
      <w:szCs w:val="20"/>
    </w:rPr>
  </w:style>
  <w:style w:type="character" w:styleId="1160">
    <w:name w:val="footnote reference"/>
    <w:basedOn w:val="1143"/>
    <w:unhideWhenUsed/>
    <w:rPr>
      <w:vertAlign w:val="superscript"/>
    </w:rPr>
  </w:style>
  <w:style w:type="paragraph" w:styleId="1161" w:customStyle="1">
    <w:name w:val="[РГ] Сноска"/>
    <w:basedOn w:val="1158"/>
    <w:qFormat/>
    <w:pPr>
      <w:ind w:left="567" w:hanging="567"/>
      <w:jc w:val="both"/>
      <w:spacing w:before="80"/>
    </w:pPr>
    <w:rPr>
      <w:sz w:val="22"/>
    </w:rPr>
  </w:style>
  <w:style w:type="character" w:styleId="1162">
    <w:name w:val="Hyperlink"/>
    <w:basedOn w:val="1143"/>
    <w:uiPriority w:val="99"/>
    <w:unhideWhenUsed/>
    <w:rPr>
      <w:color w:val="0563c1" w:themeColor="hyperlink"/>
      <w:u w:val="single"/>
    </w:rPr>
  </w:style>
  <w:style w:type="character" w:styleId="1163">
    <w:name w:val="Unresolved Mention"/>
    <w:basedOn w:val="1143"/>
    <w:uiPriority w:val="99"/>
    <w:semiHidden/>
    <w:unhideWhenUsed/>
    <w:rPr>
      <w:color w:val="605e5c"/>
      <w:shd w:val="clear" w:color="auto" w:fill="e1dfdd"/>
    </w:rPr>
  </w:style>
  <w:style w:type="paragraph" w:styleId="1164">
    <w:name w:val="toc 2"/>
    <w:basedOn w:val="1139"/>
    <w:next w:val="1139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65">
    <w:name w:val="toc 1"/>
    <w:basedOn w:val="1139"/>
    <w:next w:val="1139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66">
    <w:name w:val="toc 3"/>
    <w:basedOn w:val="1139"/>
    <w:next w:val="1139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7">
    <w:name w:val="toc 4"/>
    <w:basedOn w:val="1139"/>
    <w:next w:val="1139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8">
    <w:name w:val="toc 5"/>
    <w:basedOn w:val="1139"/>
    <w:next w:val="1139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9">
    <w:name w:val="toc 6"/>
    <w:basedOn w:val="1139"/>
    <w:next w:val="1139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0">
    <w:name w:val="toc 7"/>
    <w:basedOn w:val="1139"/>
    <w:next w:val="1139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1">
    <w:name w:val="toc 8"/>
    <w:basedOn w:val="1139"/>
    <w:next w:val="1139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2">
    <w:name w:val="toc 9"/>
    <w:basedOn w:val="1139"/>
    <w:next w:val="1139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3" w:customStyle="1">
    <w:name w:val="[РГ] Таблица"/>
    <w:basedOn w:val="114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4">
    <w:name w:val="Table Grid"/>
    <w:basedOn w:val="114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5">
    <w:name w:val="Placeholder Text"/>
    <w:basedOn w:val="1143"/>
    <w:uiPriority w:val="99"/>
    <w:semiHidden/>
    <w:rPr>
      <w:color w:val="808080"/>
    </w:rPr>
  </w:style>
  <w:style w:type="character" w:styleId="1176" w:customStyle="1">
    <w:name w:val="[РГ] Отсылка"/>
    <w:basedOn w:val="114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7">
    <w:name w:val="annotation reference"/>
    <w:basedOn w:val="1143"/>
    <w:uiPriority w:val="99"/>
    <w:unhideWhenUsed/>
    <w:rPr>
      <w:sz w:val="16"/>
      <w:szCs w:val="16"/>
    </w:rPr>
  </w:style>
  <w:style w:type="paragraph" w:styleId="1178">
    <w:name w:val="annotation text"/>
    <w:basedOn w:val="1139"/>
    <w:link w:val="1179"/>
    <w:uiPriority w:val="99"/>
    <w:unhideWhenUsed/>
    <w:rPr>
      <w:sz w:val="20"/>
      <w:szCs w:val="20"/>
    </w:rPr>
  </w:style>
  <w:style w:type="character" w:styleId="1179" w:customStyle="1">
    <w:name w:val="Текст примечания Знак"/>
    <w:basedOn w:val="1143"/>
    <w:link w:val="1178"/>
    <w:uiPriority w:val="99"/>
    <w:rPr>
      <w:sz w:val="20"/>
      <w:szCs w:val="20"/>
    </w:rPr>
  </w:style>
  <w:style w:type="paragraph" w:styleId="1180">
    <w:name w:val="annotation subject"/>
    <w:basedOn w:val="1178"/>
    <w:next w:val="1178"/>
    <w:link w:val="1181"/>
    <w:uiPriority w:val="99"/>
    <w:semiHidden/>
    <w:unhideWhenUsed/>
    <w:rPr>
      <w:b/>
      <w:bCs/>
    </w:rPr>
  </w:style>
  <w:style w:type="character" w:styleId="1181" w:customStyle="1">
    <w:name w:val="Тема примечания Знак"/>
    <w:basedOn w:val="1179"/>
    <w:link w:val="1180"/>
    <w:uiPriority w:val="99"/>
    <w:semiHidden/>
    <w:rPr>
      <w:b/>
      <w:bCs/>
      <w:sz w:val="20"/>
      <w:szCs w:val="20"/>
    </w:rPr>
  </w:style>
  <w:style w:type="paragraph" w:styleId="1182" w:customStyle="1">
    <w:name w:val="[РГ] Альтернатива / Дополнение"/>
    <w:basedOn w:val="1152"/>
    <w:next w:val="1152"/>
    <w:qFormat/>
    <w:rPr>
      <w:i/>
      <w:shd w:val="clear" w:color="auto" w:fill="ccecff"/>
    </w:rPr>
  </w:style>
  <w:style w:type="character" w:styleId="1183" w:customStyle="1">
    <w:name w:val="[РГ] Инструкция для участника"/>
    <w:basedOn w:val="114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4">
    <w:name w:val="Revision"/>
    <w:hidden/>
    <w:uiPriority w:val="99"/>
    <w:semiHidden/>
    <w:pPr>
      <w:spacing w:before="0"/>
    </w:pPr>
  </w:style>
  <w:style w:type="character" w:styleId="1185">
    <w:name w:val="FollowedHyperlink"/>
    <w:basedOn w:val="1143"/>
    <w:uiPriority w:val="99"/>
    <w:semiHidden/>
    <w:unhideWhenUsed/>
    <w:rPr>
      <w:color w:val="954f72" w:themeColor="followedHyperlink"/>
      <w:u w:val="single"/>
    </w:rPr>
  </w:style>
  <w:style w:type="paragraph" w:styleId="1186">
    <w:name w:val="List Paragraph"/>
    <w:basedOn w:val="1139"/>
    <w:uiPriority w:val="34"/>
    <w:qFormat/>
    <w:pPr>
      <w:contextualSpacing/>
      <w:ind w:left="720"/>
    </w:pPr>
  </w:style>
  <w:style w:type="paragraph" w:styleId="1187" w:customStyle="1">
    <w:name w:val="Пункт"/>
    <w:basedOn w:val="1139"/>
    <w:link w:val="1188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8" w:customStyle="1">
    <w:name w:val="Пункт Знак2"/>
    <w:link w:val="1187"/>
    <w:rPr>
      <w:rFonts w:eastAsia="Times New Roman" w:cs="Times New Roman"/>
      <w:szCs w:val="26"/>
      <w:lang w:eastAsia="ru-RU"/>
    </w:rPr>
  </w:style>
  <w:style w:type="paragraph" w:styleId="1189" w:customStyle="1">
    <w:name w:val="Подпункт"/>
    <w:basedOn w:val="1187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0" w:customStyle="1">
    <w:name w:val="Подподпункт"/>
    <w:basedOn w:val="1189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1" w:customStyle="1">
    <w:name w:val="Заголовок 1 Знак"/>
    <w:basedOn w:val="1143"/>
    <w:link w:val="1140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2" w:customStyle="1">
    <w:name w:val="Заголовок 2 Знак"/>
    <w:basedOn w:val="1143"/>
    <w:link w:val="1141"/>
    <w:rPr>
      <w:rFonts w:eastAsia="Times New Roman" w:cs="Times New Roman"/>
      <w:b/>
      <w:sz w:val="32"/>
      <w:szCs w:val="26"/>
      <w:lang w:eastAsia="ru-RU"/>
    </w:rPr>
  </w:style>
  <w:style w:type="character" w:styleId="1193" w:customStyle="1">
    <w:name w:val="Заголовок 3 Знак"/>
    <w:basedOn w:val="1143"/>
    <w:link w:val="1142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4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5" w:customStyle="1">
    <w:name w:val="комментарий"/>
    <w:rPr>
      <w:b/>
      <w:i/>
      <w:shd w:val="clear" w:color="auto" w:fill="ffff99"/>
    </w:rPr>
  </w:style>
  <w:style w:type="paragraph" w:styleId="1196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7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8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9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0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1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2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3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lescheva-ee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149</cp:revision>
  <dcterms:created xsi:type="dcterms:W3CDTF">2023-08-16T07:54:00Z</dcterms:created>
  <dcterms:modified xsi:type="dcterms:W3CDTF">2025-12-03T04:16:59Z</dcterms:modified>
</cp:coreProperties>
</file>