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png" ContentType="image/png"/>
  <Override PartName="/word/media/image5.wmf" ContentType="image/x-wmf"/>
  <Override PartName="/word/media/image6.wmf" ContentType="image/x-wmf"/>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left="5386" w:right="0"/>
        <w:rPr>
          <w:b/>
          <w:sz w:val="24"/>
          <w:szCs w:val="24"/>
        </w:rPr>
      </w:pPr>
      <w:r>
        <w:rPr>
          <w:b/>
          <w:sz w:val="24"/>
          <w:szCs w:val="24"/>
        </w:rPr>
        <w:t>«УТВЕРЖДАЮ»</w:t>
      </w:r>
    </w:p>
    <w:p>
      <w:pPr>
        <w:pStyle w:val="Normal"/>
        <w:widowControl w:val="false"/>
        <w:spacing w:before="0" w:after="0"/>
        <w:ind w:left="5387"/>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left="5103"/>
        <w:rPr>
          <w:sz w:val="24"/>
          <w:szCs w:val="24"/>
        </w:rPr>
      </w:pPr>
      <w:r>
        <w:rPr>
          <w:sz w:val="24"/>
          <w:szCs w:val="24"/>
        </w:rPr>
      </w:r>
    </w:p>
    <w:p>
      <w:pPr>
        <w:pStyle w:val="Normal"/>
        <w:widowControl w:val="false"/>
        <w:spacing w:before="0" w:after="0"/>
        <w:ind w:firstLine="284" w:left="5103"/>
        <w:rPr>
          <w:sz w:val="24"/>
          <w:szCs w:val="24"/>
        </w:rPr>
      </w:pPr>
      <w:r>
        <w:rPr>
          <w:sz w:val="24"/>
          <w:szCs w:val="24"/>
        </w:rPr>
        <w:t>__________________Д.А. Богонатов</w:t>
      </w:r>
    </w:p>
    <w:p>
      <w:pPr>
        <w:pStyle w:val="Normal"/>
        <w:widowControl w:val="false"/>
        <w:spacing w:lineRule="auto" w:line="276" w:before="0" w:after="0"/>
        <w:ind w:firstLine="5387"/>
        <w:rPr>
          <w:sz w:val="24"/>
          <w:szCs w:val="24"/>
        </w:rPr>
      </w:pPr>
      <w:r>
        <w:rPr>
          <w:sz w:val="24"/>
          <w:szCs w:val="24"/>
        </w:rPr>
        <w:t xml:space="preserve">«___»_______________ 2026г </w:t>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Style w:val="Style3"/>
          <w:shd w:fill="auto" w:val="clear"/>
        </w:rPr>
        <w:t xml:space="preserve">ОКПД 2 43.99.90 Выполнение работ по капитальному ремонту кирпичных газоходов дымовой трубы № 4 Райчихинской ГРЭС, </w:t>
      </w:r>
      <w:r>
        <w:rPr>
          <w:rStyle w:val="Style3"/>
          <w:shd w:fill="auto" w:val="clear"/>
        </w:rPr>
        <w:t>пгт</w:t>
      </w:r>
      <w:r>
        <w:rPr>
          <w:rStyle w:val="Style3"/>
          <w:shd w:fill="auto" w:val="clear"/>
        </w:rPr>
        <w:t xml:space="preserve"> Прогресс (ПП: 7.1-Рем-2026-РГРЭС</w:t>
      </w:r>
      <w:r>
        <w:rPr>
          <w:rStyle w:val="Style3"/>
          <w:shd w:fill="auto" w:val="clear"/>
        </w:rPr>
        <w:t>)</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pPr>
      <w:r>
        <w:rPr>
          <w:shd w:fill="auto" w:val="clear"/>
        </w:rPr>
        <w:t>(Лот № </w:t>
      </w:r>
      <w:r>
        <w:rPr>
          <w:rStyle w:val="Style3"/>
          <w:shd w:fill="auto" w:val="clear"/>
        </w:rPr>
        <w:t>11036009-РЕМ ПРОД-2027-ДГК-РГРЭС</w:t>
      </w:r>
      <w:r>
        <w:rPr>
          <w:shd w:fill="auto" w:val="clear"/>
        </w:rPr>
        <w:t>)</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r>
            <w:fldChar w:fldCharType="begin"/>
          </w:r>
          <w:r>
            <w:rPr>
              <w:webHidden/>
              <w:rStyle w:val="Style12"/>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Перечисление,5,[РГ] Перечисление,5,[РГ] Перечисление,5" \h</w:instrText>
          </w:r>
          <w:r>
            <w:rPr>
              <w:webHidden/>
              <w:rStyle w:val="Style12"/>
              <w:vanish w:val="false"/>
            </w:rPr>
            <w:fldChar w:fldCharType="separate"/>
          </w:r>
          <w:hyperlink w:anchor="_Toc228877668" w:tgtFrame="#_Toc228877668">
            <w:r>
              <w:rPr>
                <w:webHidden/>
              </w:rPr>
              <w:fldChar w:fldCharType="begin"/>
            </w:r>
            <w:r>
              <w:rPr>
                <w:webHidden/>
              </w:rPr>
              <w:instrText xml:space="preserve">PAGEREF _Toc228877668 \h</w:instrText>
            </w:r>
            <w:r>
              <w:rPr>
                <w:webHidden/>
              </w:rPr>
              <w:fldChar w:fldCharType="separate"/>
            </w:r>
            <w:r>
              <w:rPr>
                <w:webHidden/>
                <w:rStyle w:val="Style12"/>
                <w:vanish w:val="false"/>
              </w:rPr>
              <w:t>Сокращения</w:t>
              <w:tab/>
              <w:t>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69" w:tgtFrame="#_Toc228877669">
            <w:r>
              <w:rPr>
                <w:webHidden/>
              </w:rPr>
              <w:fldChar w:fldCharType="begin"/>
            </w:r>
            <w:r>
              <w:rPr>
                <w:webHidden/>
              </w:rPr>
              <w:instrText xml:space="preserve">PAGEREF _Toc228877669 \h</w:instrText>
            </w:r>
            <w:r>
              <w:rPr>
                <w:webHidden/>
              </w:rPr>
              <w:fldChar w:fldCharType="separate"/>
            </w:r>
            <w:r>
              <w:rPr>
                <w:webHidden/>
                <w:rStyle w:val="Style12"/>
                <w:vanish w:val="false"/>
              </w:rPr>
              <w:t>Термины и определения</w:t>
              <w:tab/>
              <w:t>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70" w:tgtFrame="#_Toc228877670">
            <w:r>
              <w:rPr>
                <w:webHidden/>
                <w:rStyle w:val="Style12"/>
                <w:vanish w:val="false"/>
              </w:rPr>
              <w:t>1.</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_Toc228877670 \h</w:instrText>
            </w:r>
            <w:r>
              <w:rPr>
                <w:webHidden/>
              </w:rPr>
              <w:fldChar w:fldCharType="separate"/>
            </w:r>
            <w:r>
              <w:rPr>
                <w:rStyle w:val="Style12"/>
              </w:rPr>
              <w:t>Основные сведения о закупке</w:t>
              <w:tab/>
              <w:t>11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1" w:tgtFrame="#_Toc228877671">
            <w:r>
              <w:rPr>
                <w:webHidden/>
                <w:rStyle w:val="Style12"/>
                <w:vanish w:val="false"/>
              </w:rPr>
              <w:t>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_Toc228877671 \h</w:instrText>
            </w:r>
            <w:r>
              <w:rPr>
                <w:webHidden/>
              </w:rPr>
              <w:fldChar w:fldCharType="separate"/>
            </w:r>
            <w:r>
              <w:rPr>
                <w:rStyle w:val="Style12"/>
              </w:rPr>
              <w:t>Статус настоящего раздела</w:t>
              <w:tab/>
              <w:t>11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2" w:tgtFrame="#_Toc228877672">
            <w:r>
              <w:rPr>
                <w:webHidden/>
                <w:rStyle w:val="Style12"/>
                <w:vanish w:val="false"/>
              </w:rPr>
              <w:t>1.2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_Toc228877672 \h</w:instrText>
            </w:r>
            <w:r>
              <w:rPr>
                <w:webHidden/>
              </w:rPr>
              <w:fldChar w:fldCharType="separate"/>
            </w:r>
            <w:r>
              <w:rPr>
                <w:rStyle w:val="Style12"/>
              </w:rPr>
              <w:t>Информация о проводимой закупке</w:t>
              <w:tab/>
              <w:t>11</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73" w:tgtFrame="#_Toc228877673">
            <w:r>
              <w:rPr>
                <w:webHidden/>
                <w:rStyle w:val="Style12"/>
                <w:vanish w:val="false"/>
              </w:rPr>
              <w:t>2.</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_Toc228877673 \h</w:instrText>
            </w:r>
            <w:r>
              <w:rPr>
                <w:webHidden/>
              </w:rPr>
              <w:fldChar w:fldCharType="separate"/>
            </w:r>
            <w:r>
              <w:rPr>
                <w:rStyle w:val="Style12"/>
              </w:rPr>
              <w:t>Общие положения</w:t>
              <w:tab/>
              <w:t>16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4" w:tgtFrame="#_Toc228877674">
            <w:r>
              <w:rPr>
                <w:webHidden/>
                <w:rStyle w:val="Style12"/>
                <w:vanish w:val="false"/>
              </w:rPr>
              <w:t>2.1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_Toc228877674 \h</w:instrText>
            </w:r>
            <w:r>
              <w:rPr>
                <w:webHidden/>
              </w:rPr>
              <w:fldChar w:fldCharType="separate"/>
            </w:r>
            <w:r>
              <w:rPr>
                <w:rStyle w:val="Style12"/>
              </w:rPr>
              <w:t>Общие сведения о закупке</w:t>
              <w:tab/>
              <w:t>16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5" w:tgtFrame="#_Toc228877675">
            <w:r>
              <w:rPr>
                <w:webHidden/>
                <w:rStyle w:val="Style12"/>
                <w:vanish w:val="false"/>
              </w:rPr>
              <w:t>2.2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_Toc228877675 \h</w:instrText>
            </w:r>
            <w:r>
              <w:rPr>
                <w:webHidden/>
              </w:rPr>
              <w:fldChar w:fldCharType="separate"/>
            </w:r>
            <w:r>
              <w:rPr>
                <w:rStyle w:val="Style12"/>
              </w:rPr>
              <w:t>Правовой статус документов</w:t>
              <w:tab/>
              <w:t>16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6" w:tgtFrame="#_Toc228877676">
            <w:r>
              <w:rPr>
                <w:webHidden/>
                <w:rStyle w:val="Style12"/>
                <w:vanish w:val="false"/>
              </w:rPr>
              <w:t>2.3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_Toc228877676 \h</w:instrText>
            </w:r>
            <w:r>
              <w:rPr>
                <w:webHidden/>
              </w:rPr>
              <w:fldChar w:fldCharType="separate"/>
            </w:r>
            <w:r>
              <w:rPr>
                <w:rStyle w:val="Style12"/>
              </w:rPr>
              <w:t>Обжалование</w:t>
              <w:tab/>
              <w:t>17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7" w:tgtFrame="#_Toc228877677">
            <w:r>
              <w:rPr>
                <w:webHidden/>
                <w:rStyle w:val="Style12"/>
                <w:vanish w:val="false"/>
              </w:rPr>
              <w:t>2.4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_Toc228877677 \h</w:instrText>
            </w:r>
            <w:r>
              <w:rPr>
                <w:webHidden/>
              </w:rPr>
              <w:fldChar w:fldCharType="separate"/>
            </w:r>
            <w:r>
              <w:rPr>
                <w:rStyle w:val="Style12"/>
              </w:rPr>
              <w:t>Особые положения при проведении закупки с использованием ЭП</w:t>
              <w:tab/>
              <w:t>18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8" w:tgtFrame="#_Toc228877678">
            <w:r>
              <w:rPr>
                <w:webHidden/>
                <w:rStyle w:val="Style12"/>
                <w:vanish w:val="false"/>
              </w:rPr>
              <w:t>2.5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_Toc228877678 \h</w:instrText>
            </w:r>
            <w:r>
              <w:rPr>
                <w:webHidden/>
              </w:rPr>
              <w:fldChar w:fldCharType="separate"/>
            </w:r>
            <w:r>
              <w:rPr>
                <w:rStyle w:val="Style12"/>
              </w:rPr>
              <w:t>Прочие положения</w:t>
              <w:tab/>
              <w:t>18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79" w:tgtFrame="#_Toc228877679">
            <w:r>
              <w:rPr>
                <w:webHidden/>
                <w:rStyle w:val="Style12"/>
                <w:vanish w:val="false"/>
              </w:rPr>
              <w:t>3.</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_Toc228877679 \h</w:instrText>
            </w:r>
            <w:r>
              <w:rPr>
                <w:webHidden/>
              </w:rPr>
              <w:fldChar w:fldCharType="separate"/>
            </w:r>
            <w:r>
              <w:rPr>
                <w:rStyle w:val="Style12"/>
              </w:rPr>
              <w:t>Требования к Участникам</w:t>
              <w:tab/>
              <w:t>19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0" w:tgtFrame="#_Toc228877680">
            <w:r>
              <w:rPr>
                <w:webHidden/>
                <w:rStyle w:val="Style12"/>
                <w:vanish w:val="false"/>
              </w:rPr>
              <w:t>3.1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_Toc228877680 \h</w:instrText>
            </w:r>
            <w:r>
              <w:rPr>
                <w:webHidden/>
              </w:rPr>
              <w:fldChar w:fldCharType="separate"/>
            </w:r>
            <w:r>
              <w:rPr>
                <w:rStyle w:val="Style12"/>
              </w:rPr>
              <w:t>Общие требования к Участникам</w:t>
              <w:tab/>
              <w:t>19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1" w:tgtFrame="#_Toc228877681">
            <w:r>
              <w:rPr>
                <w:webHidden/>
                <w:rStyle w:val="Style12"/>
                <w:vanish w:val="false"/>
              </w:rPr>
              <w:t>3.2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_Toc228877681 \h</w:instrText>
            </w:r>
            <w:r>
              <w:rPr>
                <w:webHidden/>
              </w:rPr>
              <w:fldChar w:fldCharType="separate"/>
            </w:r>
            <w:r>
              <w:rPr>
                <w:rStyle w:val="Style12"/>
              </w:rPr>
              <w:t>Генеральные подрядчики</w:t>
              <w:tab/>
              <w:t>19</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82" w:tgtFrame="#_Toc228877682">
            <w:r>
              <w:rPr>
                <w:webHidden/>
                <w:rStyle w:val="Style12"/>
                <w:vanish w:val="false"/>
              </w:rPr>
              <w:t>4.</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rStyle w:val="Style12"/>
              </w:rPr>
              <w:t>Порядок проведения закупки</w:t>
              <w:tab/>
              <w:t>2</w:t>
            </w:r>
          </w:hyperlink>
          <w:r>
            <w:rPr>
              <w:rFonts w:eastAsia="Arial" w:ascii="Calibri" w:hAnsi="Calibri" w:asciiTheme="minorHAnsi" w:eastAsiaTheme="minorEastAsia" w:hAnsiTheme="minorHAnsi"/>
              <w:b w:val="false"/>
              <w:caps w:val="false"/>
              <w:smallCaps w:val="false"/>
              <w:sz w:val="24"/>
              <w:szCs w:val="24"/>
              <w:lang w:eastAsia="ru-RU"/>
              <w14:ligatures w14:val="standardContextual"/>
            </w:rPr>
            <w:t>1</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683" w:tgtFrame="#_Toc228877683">
            <w:r>
              <w:rPr>
                <w:webHidden/>
                <w:rStyle w:val="Style12"/>
                <w:vanish w:val="false"/>
              </w:rPr>
              <w:t>4.1</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Общий порядок проведения закупки</w:t>
              <w:tab/>
              <w:t>2</w:t>
            </w:r>
          </w:hyperlink>
          <w:r>
            <w:rPr>
              <w:rFonts w:eastAsia="Arial" w:ascii="Calibri" w:hAnsi="Calibri" w:asciiTheme="minorHAnsi" w:eastAsiaTheme="minorEastAsia" w:hAnsiTheme="minorHAnsi"/>
              <w:sz w:val="24"/>
              <w:szCs w:val="24"/>
              <w:lang w:eastAsia="ru-RU"/>
              <w14:ligatures w14:val="standardContextual"/>
            </w:rPr>
            <w:t>1</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684" w:tgtFrame="#_Toc228877684">
            <w:r>
              <w:rPr>
                <w:webHidden/>
                <w:rStyle w:val="Style12"/>
                <w:vanish w:val="false"/>
              </w:rPr>
              <w:t>4.2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_Toc228877684 \h</w:instrText>
            </w:r>
            <w:r>
              <w:rPr>
                <w:webHidden/>
              </w:rPr>
              <w:fldChar w:fldCharType="separate"/>
            </w:r>
            <w:r>
              <w:rPr>
                <w:rStyle w:val="Style12"/>
              </w:rPr>
              <w:t>Официальное размещение Извещения и Документации о закупке</w:t>
              <w:tab/>
              <w:t>22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5" w:tgtFrame="#_Toc228877685">
            <w:r>
              <w:rPr>
                <w:webHidden/>
                <w:rStyle w:val="Style12"/>
                <w:vanish w:val="false"/>
              </w:rPr>
              <w:t>4.3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_Toc228877685 \h</w:instrText>
            </w:r>
            <w:r>
              <w:rPr>
                <w:webHidden/>
              </w:rPr>
              <w:fldChar w:fldCharType="separate"/>
            </w:r>
            <w:r>
              <w:rPr>
                <w:rStyle w:val="Style12"/>
              </w:rPr>
              <w:t>Подготовка заявки</w:t>
              <w:tab/>
              <w:t>22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6" w:tgtFrame="#_Toc228877686">
            <w:r>
              <w:rPr>
                <w:webHidden/>
                <w:rStyle w:val="Style12"/>
                <w:vanish w:val="false"/>
              </w:rPr>
              <w:t>4.4</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Разъяснение Документации о закупке</w:t>
              <w:tab/>
              <w:t>2</w:t>
            </w:r>
          </w:hyperlink>
          <w:r>
            <w:rPr>
              <w:rFonts w:eastAsia="Arial" w:ascii="Calibri" w:hAnsi="Calibri" w:asciiTheme="minorHAnsi" w:eastAsiaTheme="minorEastAsia" w:hAnsiTheme="minorHAnsi"/>
              <w:sz w:val="24"/>
              <w:szCs w:val="24"/>
              <w:lang w:eastAsia="ru-RU"/>
              <w14:ligatures w14:val="standardContextual"/>
            </w:rPr>
            <w:t>5</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687" w:tgtFrame="#_Toc228877687">
            <w:r>
              <w:rPr>
                <w:webHidden/>
                <w:rStyle w:val="Style12"/>
                <w:vanish w:val="false"/>
              </w:rPr>
              <w:t>4.5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_Toc228877687 \h</w:instrText>
            </w:r>
            <w:r>
              <w:rPr>
                <w:webHidden/>
              </w:rPr>
              <w:fldChar w:fldCharType="separate"/>
            </w:r>
            <w:r>
              <w:rPr>
                <w:rStyle w:val="Style12"/>
              </w:rPr>
              <w:t>Изменения Извещения и (или) Документации о закупке</w:t>
              <w:tab/>
              <w:t>25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8" w:tgtFrame="#_Toc228877688">
            <w:r>
              <w:rPr>
                <w:webHidden/>
                <w:rStyle w:val="Style12"/>
                <w:vanish w:val="false"/>
              </w:rPr>
              <w:t>4.6</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_Toc228877688 \h</w:instrText>
            </w:r>
            <w:r>
              <w:rPr>
                <w:webHidden/>
              </w:rPr>
              <w:fldChar w:fldCharType="separate"/>
            </w:r>
            <w:r>
              <w:rPr>
                <w:rStyle w:val="Style12"/>
              </w:rPr>
              <w:t>Подача заявок и их прием</w:t>
              <w:tab/>
              <w:t>26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9" w:tgtFrame="#_Toc228877689">
            <w:r>
              <w:rPr>
                <w:webHidden/>
                <w:rStyle w:val="Style12"/>
                <w:vanish w:val="false"/>
              </w:rPr>
              <w:t>4.7</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_Toc228877689 \h</w:instrText>
            </w:r>
            <w:r>
              <w:rPr>
                <w:webHidden/>
              </w:rPr>
              <w:fldChar w:fldCharType="separate"/>
            </w:r>
            <w:r>
              <w:rPr>
                <w:rStyle w:val="Style12"/>
              </w:rPr>
              <w:t>Изменение и отзыв заявок</w:t>
              <w:tab/>
              <w:t>27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0" w:tgtFrame="#_Toc228877690">
            <w:r>
              <w:rPr>
                <w:webHidden/>
                <w:rStyle w:val="Style12"/>
                <w:vanish w:val="false"/>
              </w:rPr>
              <w:t>4.8</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_Toc228877690 \h</w:instrText>
            </w:r>
            <w:r>
              <w:rPr>
                <w:webHidden/>
              </w:rPr>
              <w:fldChar w:fldCharType="separate"/>
            </w:r>
            <w:r>
              <w:rPr>
                <w:rStyle w:val="Style12"/>
              </w:rPr>
              <w:t>Открытие доступа к первым частям заявок</w:t>
              <w:tab/>
              <w:t>27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1" w:tgtFrame="#_Toc228877691">
            <w:r>
              <w:rPr>
                <w:webHidden/>
                <w:rStyle w:val="Style12"/>
                <w:vanish w:val="false"/>
              </w:rPr>
              <w:t>4.9</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_Toc228877691 \h</w:instrText>
            </w:r>
            <w:r>
              <w:rPr>
                <w:webHidden/>
              </w:rPr>
              <w:fldChar w:fldCharType="separate"/>
            </w:r>
            <w:r>
              <w:rPr>
                <w:rStyle w:val="Style12"/>
              </w:rPr>
              <w:t>Рассмотрение первых частей заявок (отборочная стадия)</w:t>
              <w:tab/>
              <w:t>27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2" w:tgtFrame="#_Toc228877692">
            <w:r>
              <w:rPr>
                <w:webHidden/>
                <w:rStyle w:val="Style12"/>
                <w:vanish w:val="false"/>
              </w:rPr>
              <w:t>4.10</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_Toc228877692 \h</w:instrText>
            </w:r>
            <w:r>
              <w:rPr>
                <w:webHidden/>
              </w:rPr>
              <w:fldChar w:fldCharType="separate"/>
            </w:r>
            <w:r>
              <w:rPr>
                <w:rStyle w:val="Style12"/>
              </w:rPr>
              <w:t>Открытие доступа ко вторым частям заявок и ценовым предложениям</w:t>
              <w:tab/>
              <w:t>30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3" w:tgtFrame="#_Toc228877693">
            <w:r>
              <w:rPr>
                <w:webHidden/>
                <w:rStyle w:val="Style12"/>
                <w:vanish w:val="false"/>
              </w:rPr>
              <w:t>4.11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_Toc228877693 \h</w:instrText>
            </w:r>
            <w:r>
              <w:rPr>
                <w:webHidden/>
              </w:rPr>
              <w:fldChar w:fldCharType="separate"/>
            </w:r>
            <w:r>
              <w:rPr>
                <w:rStyle w:val="Style12"/>
              </w:rPr>
              <w:t>Рассмотрение вторых частей заявок (отборочная стадия), в том числе (при необходимости) проведение аккредитации, и ценовых предложений</w:t>
              <w:tab/>
              <w:t>30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4" w:tgtFrame="#_Toc228877694">
            <w:r>
              <w:rPr>
                <w:webHidden/>
                <w:rStyle w:val="Style12"/>
                <w:vanish w:val="false"/>
              </w:rPr>
              <w:t>4.12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_Toc228877694 \h</w:instrText>
            </w:r>
            <w:r>
              <w:rPr>
                <w:webHidden/>
              </w:rPr>
              <w:fldChar w:fldCharType="separate"/>
            </w:r>
            <w:r>
              <w:rPr>
                <w:rStyle w:val="Style12"/>
              </w:rPr>
              <w:t>Дополнительные запросы разъяснений заявок</w:t>
              <w:tab/>
              <w:t>32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5" w:tgtFrame="#_Toc228877695">
            <w:r>
              <w:rPr>
                <w:webHidden/>
                <w:rStyle w:val="Style12"/>
                <w:vanish w:val="false"/>
              </w:rPr>
              <w:t>4.13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_Toc228877695 \h</w:instrText>
            </w:r>
            <w:r>
              <w:rPr>
                <w:webHidden/>
              </w:rPr>
              <w:fldChar w:fldCharType="separate"/>
            </w:r>
            <w:r>
              <w:rPr>
                <w:rStyle w:val="Style12"/>
              </w:rPr>
              <w:t>Оценка и сопоставление заявок</w:t>
              <w:tab/>
              <w:t>33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6" w:tgtFrame="#_Toc228877696">
            <w:r>
              <w:rPr>
                <w:webHidden/>
                <w:rStyle w:val="Style12"/>
                <w:vanish w:val="false"/>
              </w:rPr>
              <w:t>4.14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_Toc228877696 \h</w:instrText>
            </w:r>
            <w:r>
              <w:rPr>
                <w:webHidden/>
              </w:rPr>
              <w:fldChar w:fldCharType="separate"/>
            </w:r>
            <w:r>
              <w:rPr>
                <w:rStyle w:val="Style12"/>
              </w:rPr>
              <w:t>Применение законодательства о национальном режиме</w:t>
              <w:tab/>
              <w:t>34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8" w:tgtFrame="#_Toc228877698">
            <w:r>
              <w:rPr>
                <w:webHidden/>
                <w:rStyle w:val="Style12"/>
                <w:vanish w:val="false"/>
              </w:rPr>
              <w:t>4.15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_Toc228877698 \h</w:instrText>
            </w:r>
            <w:r>
              <w:rPr>
                <w:webHidden/>
              </w:rPr>
              <w:fldChar w:fldCharType="separate"/>
            </w:r>
            <w:r>
              <w:rPr>
                <w:rStyle w:val="Style12"/>
              </w:rPr>
              <w:t>Подведение итогов закупки (определение Победителя)</w:t>
              <w:tab/>
              <w:t>36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9" w:tgtFrame="#_Toc228877699">
            <w:r>
              <w:rPr>
                <w:webHidden/>
                <w:rStyle w:val="Style12"/>
                <w:vanish w:val="false"/>
              </w:rPr>
              <w:t>4.16</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_Toc228877699 \h</w:instrText>
            </w:r>
            <w:r>
              <w:rPr>
                <w:webHidden/>
              </w:rPr>
              <w:fldChar w:fldCharType="separate"/>
            </w:r>
            <w:r>
              <w:rPr>
                <w:rStyle w:val="Style12"/>
              </w:rPr>
              <w:t>Признание закупки несостоявшейся</w:t>
              <w:tab/>
              <w:t>38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0" w:tgtFrame="#_Toc228877700">
            <w:r>
              <w:rPr>
                <w:webHidden/>
                <w:rStyle w:val="Style12"/>
                <w:vanish w:val="false"/>
              </w:rPr>
              <w:t>4.17</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_Toc228877700 \h</w:instrText>
            </w:r>
            <w:r>
              <w:rPr>
                <w:webHidden/>
              </w:rPr>
              <w:fldChar w:fldCharType="separate"/>
            </w:r>
            <w:r>
              <w:rPr>
                <w:rStyle w:val="Style12"/>
              </w:rPr>
              <w:t>Отказ от проведения закупки (отмена закупки)</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1" w:tgtFrame="#_Toc228877701">
            <w:r>
              <w:rPr>
                <w:webHidden/>
                <w:rStyle w:val="Style12"/>
                <w:vanish w:val="false"/>
              </w:rPr>
              <w:t>4.18</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_Toc228877701 \h</w:instrText>
            </w:r>
            <w:r>
              <w:rPr>
                <w:webHidden/>
              </w:rPr>
              <w:fldChar w:fldCharType="separate"/>
            </w:r>
            <w:r>
              <w:rPr>
                <w:rStyle w:val="Style12"/>
              </w:rPr>
              <w:t>Особенности проведения закупки с необходимостью обеспечения заявки</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2" w:tgtFrame="#_Toc228877702">
            <w:r>
              <w:rPr>
                <w:webHidden/>
                <w:rStyle w:val="Style12"/>
                <w:vanish w:val="false"/>
              </w:rPr>
              <w:t>4.19</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_Toc228877702 \h</w:instrText>
            </w:r>
            <w:r>
              <w:rPr>
                <w:webHidden/>
              </w:rPr>
              <w:fldChar w:fldCharType="separate"/>
            </w:r>
            <w:r>
              <w:rPr>
                <w:rStyle w:val="Style12"/>
              </w:rPr>
              <w:t>Особенности проведения многолотовой закупки</w:t>
              <w:tab/>
              <w:t>43</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04" w:tgtFrame="#_Toc228877704">
            <w:r>
              <w:rPr>
                <w:webHidden/>
                <w:rStyle w:val="Style12"/>
                <w:vanish w:val="false"/>
              </w:rPr>
              <w:t>5.</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_Toc228877704 \h</w:instrText>
            </w:r>
            <w:r>
              <w:rPr>
                <w:webHidden/>
              </w:rPr>
              <w:fldChar w:fldCharType="separate"/>
            </w:r>
            <w:r>
              <w:rPr>
                <w:rStyle w:val="Style12"/>
              </w:rPr>
              <w:t>Порядок заключения Договора</w:t>
              <w:tab/>
              <w:t>44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5" w:tgtFrame="#_Toc228877705">
            <w:r>
              <w:rPr>
                <w:webHidden/>
                <w:rStyle w:val="Style12"/>
                <w:vanish w:val="false"/>
              </w:rPr>
              <w:t>5.1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_Toc228877705 \h</w:instrText>
            </w:r>
            <w:r>
              <w:rPr>
                <w:webHidden/>
              </w:rPr>
              <w:fldChar w:fldCharType="separate"/>
            </w:r>
            <w:r>
              <w:rPr>
                <w:rStyle w:val="Style12"/>
              </w:rPr>
              <w:t>Общие положения</w:t>
              <w:tab/>
              <w:t>44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6" w:tgtFrame="#_Toc228877706">
            <w:r>
              <w:rPr>
                <w:webHidden/>
                <w:rStyle w:val="Style12"/>
                <w:vanish w:val="false"/>
              </w:rPr>
              <w:t>5.2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_Toc228877706 \h</w:instrText>
            </w:r>
            <w:r>
              <w:rPr>
                <w:webHidden/>
              </w:rPr>
              <w:fldChar w:fldCharType="separate"/>
            </w:r>
            <w:r>
              <w:rPr>
                <w:rStyle w:val="Style12"/>
              </w:rPr>
              <w:t>Заключение Договора</w:t>
              <w:tab/>
              <w:t>44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7" w:tgtFrame="#_Toc228877707">
            <w:r>
              <w:rPr>
                <w:webHidden/>
                <w:rStyle w:val="Style12"/>
                <w:vanish w:val="false"/>
              </w:rPr>
              <w:t>5.3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_Toc228877707 \h</w:instrText>
            </w:r>
            <w:r>
              <w:rPr>
                <w:webHidden/>
              </w:rPr>
              <w:fldChar w:fldCharType="separate"/>
            </w:r>
            <w:r>
              <w:rPr>
                <w:rStyle w:val="Style12"/>
              </w:rPr>
              <w:t>Уклонение Победителя от заключения Договора</w:t>
              <w:tab/>
              <w:t>46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08" w:tgtFrame="#_Toc228877708">
            <w:r>
              <w:rPr>
                <w:webHidden/>
                <w:rStyle w:val="Style12"/>
                <w:vanish w:val="false"/>
              </w:rPr>
              <w:t>6.</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_Toc228877708 \h</w:instrText>
            </w:r>
            <w:r>
              <w:rPr>
                <w:webHidden/>
              </w:rPr>
              <w:fldChar w:fldCharType="separate"/>
            </w:r>
            <w:r>
              <w:rPr>
                <w:rStyle w:val="Style12"/>
              </w:rPr>
              <w:t>Приложение № 1 – Технические требования</w:t>
              <w:tab/>
              <w:t>48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9" w:tgtFrame="#_Toc228877709">
            <w:r>
              <w:rPr>
                <w:webHidden/>
                <w:rStyle w:val="Style12"/>
                <w:vanish w:val="false"/>
              </w:rPr>
              <w:t>6.1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_Toc228877709 \h</w:instrText>
            </w:r>
            <w:r>
              <w:rPr>
                <w:webHidden/>
              </w:rPr>
              <w:fldChar w:fldCharType="separate"/>
            </w:r>
            <w:r>
              <w:rPr>
                <w:rStyle w:val="Style12"/>
              </w:rPr>
              <w:t>Пояснения к Техническим требованиям</w:t>
              <w:tab/>
              <w:t>48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0" w:tgtFrame="#_Toc228877710">
            <w:r>
              <w:rPr>
                <w:webHidden/>
                <w:rStyle w:val="Style12"/>
                <w:vanish w:val="false"/>
              </w:rPr>
              <w:t>7.</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_Toc228877710 \h</w:instrText>
            </w:r>
            <w:r>
              <w:rPr>
                <w:webHidden/>
              </w:rPr>
              <w:fldChar w:fldCharType="separate"/>
            </w:r>
            <w:r>
              <w:rPr>
                <w:rStyle w:val="Style12"/>
              </w:rPr>
              <w:t>Приложение № 2 – Проект договора</w:t>
              <w:tab/>
              <w:t>49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1" w:tgtFrame="#_Toc228877711">
            <w:r>
              <w:rPr>
                <w:webHidden/>
                <w:rStyle w:val="Style12"/>
                <w:vanish w:val="false"/>
              </w:rPr>
              <w:t>7.1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_Toc228877711 \h</w:instrText>
            </w:r>
            <w:r>
              <w:rPr>
                <w:webHidden/>
              </w:rPr>
              <w:fldChar w:fldCharType="separate"/>
            </w:r>
            <w:r>
              <w:rPr>
                <w:rStyle w:val="Style12"/>
              </w:rPr>
              <w:t>Пояснения к Проекту договора</w:t>
              <w:tab/>
              <w:t>49</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2" w:tgtFrame="#_Toc228877712">
            <w:r>
              <w:rPr>
                <w:webHidden/>
                <w:rStyle w:val="Style12"/>
                <w:vanish w:val="false"/>
              </w:rPr>
              <w:t>8.</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_Toc228877712 \h</w:instrText>
            </w:r>
            <w:r>
              <w:rPr>
                <w:webHidden/>
              </w:rPr>
              <w:fldChar w:fldCharType="separate"/>
            </w:r>
            <w:r>
              <w:rPr>
                <w:rStyle w:val="Style12"/>
              </w:rPr>
              <w:t>Приложение № 3 – Требования к Участникам</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3" w:tgtFrame="#_Toc228877713">
            <w:r>
              <w:rPr>
                <w:webHidden/>
                <w:rStyle w:val="Style12"/>
                <w:vanish w:val="false"/>
              </w:rPr>
              <w:t>8.1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_Toc228877713 \h</w:instrText>
            </w:r>
            <w:r>
              <w:rPr>
                <w:webHidden/>
              </w:rPr>
              <w:fldChar w:fldCharType="separate"/>
            </w:r>
            <w:r>
              <w:rPr>
                <w:rStyle w:val="Style12"/>
              </w:rPr>
              <w:t>Пояснения к требованиям к Участникам</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4" w:tgtFrame="#_Toc228877714">
            <w:r>
              <w:rPr>
                <w:webHidden/>
                <w:rStyle w:val="Style12"/>
                <w:vanish w:val="false"/>
              </w:rPr>
              <w:t>8.2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_Toc228877714 \h</w:instrText>
            </w:r>
            <w:r>
              <w:rPr>
                <w:webHidden/>
              </w:rPr>
              <w:fldChar w:fldCharType="separate"/>
            </w:r>
            <w:r>
              <w:rPr>
                <w:rStyle w:val="Style12"/>
              </w:rPr>
              <w:t>Обязательные требования</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5" w:tgtFrame="#_Toc228877715">
            <w:r>
              <w:rPr>
                <w:webHidden/>
                <w:rStyle w:val="Style12"/>
                <w:vanish w:val="false"/>
              </w:rPr>
              <w:t>8.3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_Toc228877715 \h</w:instrText>
            </w:r>
            <w:r>
              <w:rPr>
                <w:webHidden/>
              </w:rPr>
              <w:fldChar w:fldCharType="separate"/>
            </w:r>
            <w:r>
              <w:rPr>
                <w:rStyle w:val="Style12"/>
              </w:rPr>
              <w:t>Специальные требования</w:t>
              <w:tab/>
              <w:t>53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6" w:tgtFrame="#_Toc228877716">
            <w:r>
              <w:rPr>
                <w:webHidden/>
                <w:rStyle w:val="Style12"/>
                <w:vanish w:val="false"/>
              </w:rPr>
              <w:t>8.4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_Toc228877716 \h</w:instrText>
            </w:r>
            <w:r>
              <w:rPr>
                <w:webHidden/>
              </w:rPr>
              <w:fldChar w:fldCharType="separate"/>
            </w:r>
            <w:r>
              <w:rPr>
                <w:rStyle w:val="Style12"/>
              </w:rPr>
              <w:t>Дополнительные требования к Генеральным подрядчикам</w:t>
              <w:tab/>
              <w:t>54</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7" w:tgtFrame="#_Toc228877717">
            <w:r>
              <w:rPr>
                <w:webHidden/>
                <w:rStyle w:val="Style12"/>
                <w:vanish w:val="false"/>
              </w:rPr>
              <w:t>9.</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_Toc228877717 \h</w:instrText>
            </w:r>
            <w:r>
              <w:rPr>
                <w:webHidden/>
              </w:rPr>
              <w:fldChar w:fldCharType="separate"/>
            </w:r>
            <w:r>
              <w:rPr>
                <w:rStyle w:val="Style12"/>
              </w:rPr>
              <w:t>Приложение № 4 – Образцы форм документов, включаемых в состав заявки</w:t>
              <w:tab/>
              <w:t>56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8" w:tgtFrame="#_Toc228877718">
            <w:r>
              <w:rPr>
                <w:webHidden/>
                <w:rStyle w:val="Style12"/>
                <w:vanish w:val="false"/>
              </w:rPr>
              <w:t>9.1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_Toc228877718 \h</w:instrText>
            </w:r>
            <w:r>
              <w:rPr>
                <w:webHidden/>
              </w:rPr>
              <w:fldChar w:fldCharType="separate"/>
            </w:r>
            <w:r>
              <w:rPr>
                <w:rStyle w:val="Style12"/>
              </w:rPr>
              <w:t>Пояснения к Образцам форм документов, включаемых в состав заявки</w:t>
              <w:tab/>
              <w:t>56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9" w:tgtFrame="#_Toc228877719">
            <w:r>
              <w:rPr>
                <w:webHidden/>
                <w:rStyle w:val="Style12"/>
                <w:vanish w:val="false"/>
              </w:rPr>
              <w:t>10.</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_Toc228877719 \h</w:instrText>
            </w:r>
            <w:r>
              <w:rPr>
                <w:webHidden/>
              </w:rPr>
              <w:fldChar w:fldCharType="separate"/>
            </w:r>
            <w:r>
              <w:rPr>
                <w:rStyle w:val="Style12"/>
              </w:rPr>
              <w:t>Приложение № 5 – Образцы форм документов, предоставляемых Победителем</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0" w:tgtFrame="#_Toc228877720">
            <w:r>
              <w:rPr>
                <w:webHidden/>
                <w:rStyle w:val="Style12"/>
                <w:vanish w:val="false"/>
              </w:rPr>
              <w:t>10.1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_Toc228877720 \h</w:instrText>
            </w:r>
            <w:r>
              <w:rPr>
                <w:webHidden/>
              </w:rPr>
              <w:fldChar w:fldCharType="separate"/>
            </w:r>
            <w:r>
              <w:rPr>
                <w:rStyle w:val="Style12"/>
              </w:rPr>
              <w:t>Пояснения к Образцам форм документов, предоставляемых Победителем</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1" w:tgtFrame="#_Toc228877721">
            <w:r>
              <w:rPr>
                <w:webHidden/>
                <w:rStyle w:val="Style12"/>
                <w:vanish w:val="false"/>
              </w:rPr>
              <w:t>10.2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_Toc228877721 \h</w:instrText>
            </w:r>
            <w:r>
              <w:rPr>
                <w:webHidden/>
              </w:rPr>
              <w:fldChar w:fldCharType="separate"/>
            </w:r>
            <w:r>
              <w:rPr>
                <w:rStyle w:val="Style12"/>
              </w:rPr>
              <w:t>Форма справки «Сведения о цепочке собственников, включая бенефициаров (в том числе конечных)»</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2" w:tgtFrame="#_Toc228877722">
            <w:r>
              <w:rPr>
                <w:webHidden/>
                <w:rStyle w:val="Style12"/>
                <w:vanish w:val="false"/>
              </w:rPr>
              <w:t>10.3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_Toc228877722 \h</w:instrText>
            </w:r>
            <w:r>
              <w:rPr>
                <w:webHidden/>
              </w:rPr>
              <w:fldChar w:fldCharType="separate"/>
            </w:r>
            <w:r>
              <w:rPr>
                <w:rStyle w:val="Style12"/>
              </w:rPr>
              <w:t>Форма «Заверение об обстоятельствах»</w:t>
              <w:tab/>
              <w:t>57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23" w:tgtFrame="#_Toc228877723">
            <w:r>
              <w:rPr>
                <w:webHidden/>
                <w:rStyle w:val="Style12"/>
                <w:vanish w:val="false"/>
              </w:rPr>
              <w:t>11.</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_Toc228877723 \h</w:instrText>
            </w:r>
            <w:r>
              <w:rPr>
                <w:webHidden/>
              </w:rPr>
              <w:fldChar w:fldCharType="separate"/>
            </w:r>
            <w:r>
              <w:rPr>
                <w:rStyle w:val="Style12"/>
              </w:rPr>
              <w:t>Приложение № 6 – Состав заявки</w:t>
              <w:tab/>
              <w:t>55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4" w:tgtFrame="#_Toc228877724">
            <w:r>
              <w:rPr>
                <w:webHidden/>
                <w:rStyle w:val="Style12"/>
                <w:vanish w:val="false"/>
              </w:rPr>
              <w:t>11.1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_Toc228877724 \h</w:instrText>
            </w:r>
            <w:r>
              <w:rPr>
                <w:webHidden/>
              </w:rPr>
              <w:fldChar w:fldCharType="separate"/>
            </w:r>
            <w:r>
              <w:rPr>
                <w:rStyle w:val="Style12"/>
              </w:rPr>
              <w:t>Состав заявки</w:t>
              <w:tab/>
              <w:t>55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25" w:tgtFrame="#_Toc228877725">
            <w:r>
              <w:rPr>
                <w:webHidden/>
                <w:rStyle w:val="Style12"/>
                <w:vanish w:val="false"/>
              </w:rPr>
              <w:t>12.</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_Toc228877725 \h</w:instrText>
            </w:r>
            <w:r>
              <w:rPr>
                <w:webHidden/>
              </w:rPr>
              <w:fldChar w:fldCharType="separate"/>
            </w:r>
            <w:r>
              <w:rPr>
                <w:rStyle w:val="Style12"/>
              </w:rPr>
              <w:t>Приложение № 7 – Отборочные критерии рассмотрения заявок</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6" w:tgtFrame="#_Toc228877726">
            <w:r>
              <w:rPr>
                <w:webHidden/>
                <w:rStyle w:val="Style12"/>
                <w:vanish w:val="false"/>
              </w:rPr>
              <w:t>12.1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_Toc228877726 \h</w:instrText>
            </w:r>
            <w:r>
              <w:rPr>
                <w:webHidden/>
              </w:rPr>
              <w:fldChar w:fldCharType="separate"/>
            </w:r>
            <w:r>
              <w:rPr>
                <w:rStyle w:val="Style12"/>
              </w:rPr>
              <w:t>Отборочные критерии рассмотрения первых частей заявок</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7" w:tgtFrame="#_Toc228877727">
            <w:r>
              <w:rPr>
                <w:webHidden/>
                <w:rStyle w:val="Style12"/>
                <w:vanish w:val="false"/>
              </w:rPr>
              <w:t>12.2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_Toc228877727 \h</w:instrText>
            </w:r>
            <w:r>
              <w:rPr>
                <w:webHidden/>
              </w:rPr>
              <w:fldChar w:fldCharType="separate"/>
            </w:r>
            <w:r>
              <w:rPr>
                <w:rStyle w:val="Style12"/>
              </w:rPr>
              <w:t>Дополнительные критерии проверки первых частей заявок на соответствия условиям Документации о закупке</w:t>
              <w:tab/>
              <w:t>59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8" w:tgtFrame="#_Toc228877728">
            <w:r>
              <w:rPr>
                <w:webHidden/>
                <w:rStyle w:val="Style12"/>
                <w:vanish w:val="false"/>
              </w:rPr>
              <w:t>12.3</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Отборочные критерии рассмотрения вторых частей заявок</w:t>
              <w:tab/>
            </w:r>
          </w:hyperlink>
          <w:r>
            <w:rPr/>
            <w:t>59</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29" w:tgtFrame="#_Toc228877729">
            <w:r>
              <w:rPr>
                <w:webHidden/>
                <w:rStyle w:val="Style12"/>
                <w:vanish w:val="false"/>
              </w:rPr>
              <w:t>12.4</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Отборочные критерии рассмотрения ценовых предложений</w:t>
              <w:tab/>
              <w:t>6</w:t>
            </w:r>
          </w:hyperlink>
          <w:r>
            <w:rPr>
              <w:rFonts w:eastAsia="Arial" w:ascii="Calibri" w:hAnsi="Calibri" w:asciiTheme="minorHAnsi" w:eastAsiaTheme="minorEastAsia" w:hAnsiTheme="minorHAnsi"/>
              <w:sz w:val="24"/>
              <w:szCs w:val="24"/>
              <w:lang w:eastAsia="ru-RU"/>
              <w14:ligatures w14:val="standardContextual"/>
            </w:rPr>
            <w:t>2</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30" w:tgtFrame="#_Toc228877730">
            <w:r>
              <w:rPr>
                <w:webHidden/>
                <w:rStyle w:val="Style12"/>
                <w:vanish w:val="false"/>
              </w:rPr>
              <w:t>12.5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_Toc228877730 \h</w:instrText>
            </w:r>
            <w:r>
              <w:rPr>
                <w:webHidden/>
              </w:rPr>
              <w:fldChar w:fldCharType="separate"/>
            </w:r>
            <w:r>
              <w:rPr>
                <w:rStyle w:val="Style12"/>
              </w:rPr>
              <w:t>Дополнительные критерии проверки заявок на соответствие условиям Документации о закупке</w:t>
              <w:tab/>
              <w:t>63</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1" w:tgtFrame="#_Toc228877731">
            <w:r>
              <w:rPr>
                <w:webHidden/>
                <w:rStyle w:val="Style12"/>
                <w:vanish w:val="false"/>
              </w:rPr>
              <w:t>13.</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_Toc228877731 \h</w:instrText>
            </w:r>
            <w:r>
              <w:rPr>
                <w:webHidden/>
              </w:rPr>
              <w:fldChar w:fldCharType="separate"/>
            </w:r>
            <w:r>
              <w:rPr>
                <w:rStyle w:val="Style12"/>
              </w:rPr>
              <w:t>Приложение № 8 – Порядок и критерии оценки и сопоставления заявок</w:t>
              <w:tab/>
              <w:t>65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32" w:tgtFrame="#_Toc228877732">
            <w:r>
              <w:rPr>
                <w:webHidden/>
                <w:rStyle w:val="Style12"/>
                <w:vanish w:val="false"/>
              </w:rPr>
              <w:t>13.1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_Toc228877732 \h</w:instrText>
            </w:r>
            <w:r>
              <w:rPr>
                <w:webHidden/>
              </w:rPr>
              <w:fldChar w:fldCharType="separate"/>
            </w:r>
            <w:r>
              <w:rPr>
                <w:rStyle w:val="Style12"/>
              </w:rPr>
              <w:t>Порядок и критерии оценки и сопоставления заявок</w:t>
              <w:tab/>
              <w:t>65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3" w:tgtFrame="#_Toc228877733">
            <w:r>
              <w:rPr>
                <w:webHidden/>
                <w:rStyle w:val="Style12"/>
                <w:vanish w:val="false"/>
              </w:rPr>
              <w:t>14.</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_Toc228877733 \h</w:instrText>
            </w:r>
            <w:r>
              <w:rPr>
                <w:webHidden/>
              </w:rPr>
              <w:fldChar w:fldCharType="separate"/>
            </w:r>
            <w:r>
              <w:rPr>
                <w:rStyle w:val="Style12"/>
              </w:rPr>
              <w:t>Приложение № 9 – Обоснование НМЦ</w:t>
              <w:tab/>
              <w:t>70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34" w:tgtFrame="#_Toc228877734">
            <w:r>
              <w:rPr>
                <w:webHidden/>
                <w:rStyle w:val="Style12"/>
                <w:vanish w:val="false"/>
              </w:rPr>
              <w:t>14.1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_Toc228877734 \h</w:instrText>
            </w:r>
            <w:r>
              <w:rPr>
                <w:webHidden/>
              </w:rPr>
              <w:fldChar w:fldCharType="separate"/>
            </w:r>
            <w:r>
              <w:rPr>
                <w:rStyle w:val="Style12"/>
              </w:rPr>
              <w:t>Пояснения к Обоснованию НМЦ</w:t>
              <w:tab/>
              <w:t>70</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5" w:tgtFrame="#_Toc228877735">
            <w:r>
              <w:rPr>
                <w:webHidden/>
                <w:rStyle w:val="Style12"/>
                <w:vanish w:val="false"/>
              </w:rPr>
              <w:t>15.</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rStyle w:val="Style12"/>
              </w:rPr>
              <w:t>Приложение № 10 – Форма Заявки на аккредитацию</w:t>
              <w:tab/>
              <w:t>7</w:t>
            </w:r>
          </w:hyperlink>
          <w:r>
            <w:rPr>
              <w:rFonts w:eastAsia="Arial" w:ascii="Calibri" w:hAnsi="Calibri" w:asciiTheme="minorHAnsi" w:eastAsiaTheme="minorEastAsia" w:hAnsiTheme="minorHAnsi"/>
              <w:b w:val="false"/>
              <w:caps w:val="false"/>
              <w:smallCaps w:val="false"/>
              <w:sz w:val="24"/>
              <w:szCs w:val="24"/>
              <w:lang w:eastAsia="ru-RU"/>
              <w14:ligatures w14:val="standardContextual"/>
            </w:rPr>
            <w:t>1</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36" w:tgtFrame="#_Toc228877736">
            <w:r>
              <w:rPr>
                <w:webHidden/>
                <w:rStyle w:val="Style12"/>
                <w:vanish w:val="false"/>
              </w:rPr>
              <w:t>15.1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_Toc228877736 \h</w:instrText>
            </w:r>
            <w:r>
              <w:rPr>
                <w:webHidden/>
              </w:rPr>
              <w:fldChar w:fldCharType="separate"/>
            </w:r>
            <w:r>
              <w:rPr>
                <w:rStyle w:val="Style12"/>
              </w:rPr>
              <w:t>Пояснения к форме Заявки на аккредитацию</w:t>
              <w:tab/>
              <w:t>71</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7" w:tgtFrame="#_Toc228877737">
            <w:r>
              <w:rPr>
                <w:webHidden/>
                <w:rStyle w:val="Style12"/>
                <w:vanish w:val="false"/>
              </w:rPr>
              <w:t>16.</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rStyle w:val="Style12"/>
              </w:rPr>
              <w:t>Приложение № 11 – форма Данных бухгалтерской (финансовой) отчетности</w:t>
              <w:tab/>
              <w:t>7</w:t>
            </w:r>
          </w:hyperlink>
          <w:r>
            <w:rPr>
              <w:rFonts w:eastAsia="Arial" w:ascii="Calibri" w:hAnsi="Calibri" w:asciiTheme="minorHAnsi" w:eastAsiaTheme="minorEastAsia" w:hAnsiTheme="minorHAnsi"/>
              <w:b w:val="false"/>
              <w:caps w:val="false"/>
              <w:smallCaps w:val="false"/>
              <w:sz w:val="24"/>
              <w:szCs w:val="24"/>
              <w:lang w:eastAsia="ru-RU"/>
              <w14:ligatures w14:val="standardContextual"/>
            </w:rPr>
            <w:t>2</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38" w:tgtFrame="#_Toc228877738">
            <w:r>
              <w:rPr>
                <w:webHidden/>
                <w:rStyle w:val="Style12"/>
                <w:vanish w:val="false"/>
              </w:rPr>
              <w:t>16.1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_Toc228877738 \h</w:instrText>
            </w:r>
            <w:r>
              <w:rPr>
                <w:webHidden/>
              </w:rPr>
              <w:fldChar w:fldCharType="separate"/>
            </w:r>
            <w:r>
              <w:rPr>
                <w:rStyle w:val="Style12"/>
              </w:rPr>
              <w:t>Пояснения к форме Данных бухгалтерской (финансовой) отчетности</w:t>
              <w:tab/>
              <w:t>72</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themeColor="accent1"/>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themeColor="accent1"/>
        </w:rPr>
        <w:t>включается на вкладке «Вид» опцией «Навигатор»</w:t>
      </w:r>
      <w:r>
        <w:rPr>
          <w:rStyle w:val="Style9"/>
        </w:rPr>
        <w:t>;</w:t>
      </w:r>
    </w:p>
    <w:p>
      <w:pPr>
        <w:pStyle w:val="Style21"/>
        <w:numPr>
          <w:ilvl w:val="0"/>
          <w:numId w:val="8"/>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themeColor="accent1"/>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Pr>
          <w:rStyle w:val="Style9"/>
        </w:rPr>
      </w:pPr>
      <w:r>
        <w:rPr>
          <w:rStyle w:val="Style9"/>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228877668"/>
      <w:r>
        <w:rPr/>
        <w:t>Сокращения</w:t>
      </w:r>
      <w:bookmarkEnd w:id="0"/>
    </w:p>
    <w:p>
      <w:pPr>
        <w:pStyle w:val="Style21"/>
        <w:ind w:firstLine="567"/>
        <w:rPr/>
      </w:pPr>
      <w:r>
        <w:rPr>
          <w:b/>
          <w:bCs/>
        </w:rPr>
        <w:t>ГК РФ</w:t>
      </w:r>
      <w:r>
        <w:rPr/>
        <w:t xml:space="preserve"> – Гражданской кодекс Российской Федерации.</w:t>
      </w:r>
    </w:p>
    <w:p>
      <w:pPr>
        <w:pStyle w:val="Style21"/>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rPr/>
      </w:pPr>
      <w:r>
        <w:rPr>
          <w:b/>
          <w:bCs/>
        </w:rPr>
        <w:t>ЕАЭС</w:t>
      </w:r>
      <w:r>
        <w:rPr/>
        <w:t xml:space="preserve"> – Евразийский экономический союз.</w:t>
      </w:r>
    </w:p>
    <w:p>
      <w:pPr>
        <w:pStyle w:val="Style21"/>
        <w:ind w:firstLine="567"/>
        <w:rPr/>
      </w:pPr>
      <w:r>
        <w:rPr>
          <w:b/>
          <w:bCs/>
        </w:rPr>
        <w:t>ЕГРИП</w:t>
      </w:r>
      <w:r>
        <w:rPr/>
        <w:t xml:space="preserve"> – Единый государственный реестр индивидуальных предпринимателей.</w:t>
      </w:r>
    </w:p>
    <w:p>
      <w:pPr>
        <w:pStyle w:val="Style21"/>
        <w:ind w:firstLine="567"/>
        <w:rPr/>
      </w:pPr>
      <w:r>
        <w:rPr>
          <w:b/>
          <w:bCs/>
        </w:rPr>
        <w:t>ЕГРЮЛ</w:t>
      </w:r>
      <w:r>
        <w:rPr/>
        <w:t xml:space="preserve"> – Единый государственный реестр юридических лиц.</w:t>
      </w:r>
    </w:p>
    <w:p>
      <w:pPr>
        <w:pStyle w:val="Style21"/>
        <w:ind w:firstLine="567"/>
        <w:rPr/>
      </w:pPr>
      <w:r>
        <w:rPr>
          <w:b/>
          <w:bCs/>
        </w:rPr>
        <w:t>ЕИС</w:t>
      </w:r>
      <w:r>
        <w:rPr/>
        <w:t xml:space="preserve"> – Единая информационная система в сфере закупок.</w:t>
      </w:r>
    </w:p>
    <w:p>
      <w:pPr>
        <w:pStyle w:val="Style21"/>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rPr/>
      </w:pPr>
      <w:r>
        <w:rPr>
          <w:b/>
          <w:bCs/>
        </w:rPr>
        <w:t>Извещение</w:t>
      </w:r>
      <w:r>
        <w:rPr/>
        <w:t xml:space="preserve"> – извещение о проведении настоящей закупки.</w:t>
      </w:r>
    </w:p>
    <w:p>
      <w:pPr>
        <w:pStyle w:val="Style21"/>
        <w:ind w:firstLine="567"/>
        <w:rPr/>
      </w:pPr>
      <w:r>
        <w:rPr>
          <w:b/>
          <w:bCs/>
        </w:rPr>
        <w:t>ИНН</w:t>
      </w:r>
      <w:r>
        <w:rPr/>
        <w:t xml:space="preserve"> – идентификационный номер налогоплательщика.</w:t>
      </w:r>
    </w:p>
    <w:p>
      <w:pPr>
        <w:pStyle w:val="Style21"/>
        <w:ind w:firstLine="567"/>
        <w:rPr/>
      </w:pPr>
      <w:r>
        <w:rPr>
          <w:b/>
          <w:bCs/>
        </w:rPr>
        <w:t>ИФНС</w:t>
      </w:r>
      <w:r>
        <w:rPr/>
        <w:t xml:space="preserve"> – инспекция Федеральной налоговой службы Российской Федерации.</w:t>
      </w:r>
    </w:p>
    <w:p>
      <w:pPr>
        <w:pStyle w:val="Style21"/>
        <w:ind w:firstLine="567"/>
        <w:rPr/>
      </w:pPr>
      <w:r>
        <w:rPr>
          <w:b/>
          <w:bCs/>
        </w:rPr>
        <w:t>МТР</w:t>
      </w:r>
      <w:r>
        <w:rPr/>
        <w:t xml:space="preserve"> – материально-технические ресурсы.</w:t>
      </w:r>
    </w:p>
    <w:p>
      <w:pPr>
        <w:pStyle w:val="Style21"/>
        <w:ind w:firstLine="567"/>
        <w:rPr/>
      </w:pPr>
      <w:r>
        <w:rPr>
          <w:b/>
          <w:bCs/>
        </w:rPr>
        <w:t>НДС</w:t>
      </w:r>
      <w:r>
        <w:rPr/>
        <w:t xml:space="preserve"> – налог на добавленную стоимость.</w:t>
      </w:r>
    </w:p>
    <w:p>
      <w:pPr>
        <w:pStyle w:val="Style21"/>
        <w:ind w:firstLine="567"/>
        <w:rPr/>
      </w:pPr>
      <w:r>
        <w:rPr>
          <w:b/>
          <w:bCs/>
        </w:rPr>
        <w:t>НМЦ</w:t>
      </w:r>
      <w:r>
        <w:rPr/>
        <w:t xml:space="preserve"> – начальная (максимальная) цена договора.</w:t>
      </w:r>
    </w:p>
    <w:p>
      <w:pPr>
        <w:pStyle w:val="Style21"/>
        <w:ind w:firstLine="567"/>
        <w:rPr/>
      </w:pPr>
      <w:r>
        <w:rPr>
          <w:b/>
          <w:bCs/>
        </w:rPr>
        <w:t>Оператор ЭП</w:t>
      </w:r>
      <w:r>
        <w:rPr/>
        <w:t xml:space="preserve"> – оператор электронной площадки.</w:t>
      </w:r>
    </w:p>
    <w:p>
      <w:pPr>
        <w:pStyle w:val="Style2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rPr/>
      </w:pPr>
      <w:r>
        <w:rPr>
          <w:b/>
          <w:bCs/>
        </w:rPr>
        <w:t>Положение о закупке</w:t>
      </w:r>
      <w:r>
        <w:rPr/>
        <w:t xml:space="preserve"> – Единое Положение о закупке продукции для нужд Группы РусГидро.</w:t>
      </w:r>
    </w:p>
    <w:p>
      <w:pPr>
        <w:pStyle w:val="Style2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rPr/>
      </w:pPr>
      <w:r>
        <w:rPr/>
      </w:r>
    </w:p>
    <w:p>
      <w:pPr>
        <w:pStyle w:val="Style2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rPr/>
      </w:pPr>
      <w:r>
        <w:rPr>
          <w:b/>
          <w:bCs/>
        </w:rPr>
        <w:t>Субъект МСП</w:t>
      </w:r>
      <w:r>
        <w:rPr/>
        <w:t xml:space="preserve"> – субъект малого и среднего предпринимательства.</w:t>
      </w:r>
    </w:p>
    <w:p>
      <w:pPr>
        <w:pStyle w:val="Style21"/>
        <w:ind w:firstLine="567"/>
        <w:rPr/>
      </w:pPr>
      <w:r>
        <w:rPr>
          <w:b/>
          <w:bCs/>
        </w:rPr>
        <w:t>ЭП</w:t>
      </w:r>
      <w:r>
        <w:rPr/>
        <w:t xml:space="preserve"> – электронная площадка.</w:t>
      </w:r>
    </w:p>
    <w:p>
      <w:pPr>
        <w:pStyle w:val="Style20"/>
        <w:numPr>
          <w:ilvl w:val="0"/>
          <w:numId w:val="0"/>
        </w:numPr>
        <w:ind w:hanging="0" w:left="0"/>
        <w:outlineLvl w:val="0"/>
        <w:rPr/>
      </w:pPr>
      <w:bookmarkStart w:id="1" w:name="_Toc228877669"/>
      <w:r>
        <w:rPr/>
        <w:t>Термины и определения</w:t>
      </w:r>
      <w:bookmarkEnd w:id="1"/>
    </w:p>
    <w:p>
      <w:pPr>
        <w:pStyle w:val="Style2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Ref125359988"/>
      <w:bookmarkStart w:id="4" w:name="_Toc228877670"/>
      <w:r>
        <w:rPr/>
        <w:t>Основные сведения о закупке</w:t>
      </w:r>
      <w:bookmarkEnd w:id="3"/>
      <w:bookmarkEnd w:id="4"/>
    </w:p>
    <w:p>
      <w:pPr>
        <w:pStyle w:val="Style16"/>
        <w:spacing w:before="360" w:after="0"/>
        <w:rPr/>
      </w:pPr>
      <w:bookmarkStart w:id="5" w:name="_Toc228877671"/>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32876309"/>
      <w:bookmarkStart w:id="7" w:name="_Toc228877672"/>
      <w:bookmarkStart w:id="8" w:name="_Ref125359973"/>
      <w:bookmarkStart w:id="9" w:name="_Ref127270076"/>
      <w:r>
        <w:rPr/>
        <w:t>Информация о проводимой закупке</w:t>
      </w:r>
      <w:bookmarkEnd w:id="6"/>
      <w:bookmarkEnd w:id="7"/>
      <w:bookmarkEnd w:id="8"/>
      <w:bookmarkEnd w:id="9"/>
    </w:p>
    <w:tbl>
      <w:tblPr>
        <w:tblStyle w:val="961"/>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0"/>
        <w:gridCol w:w="5816"/>
      </w:tblGrid>
      <w:tr>
        <w:trPr/>
        <w:tc>
          <w:tcPr>
            <w:tcW w:w="112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297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81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0" w:name="_Ref125360980"/>
            <w:bookmarkStart w:id="11" w:name="_Ref125360980"/>
            <w:bookmarkEnd w:id="11"/>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2" w:name="_Ref125360996"/>
            <w:bookmarkStart w:id="13" w:name="_Ref125360996"/>
            <w:bookmarkEnd w:id="13"/>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816" w:type="dxa"/>
            <w:tcBorders/>
          </w:tcPr>
          <w:p>
            <w:pPr>
              <w:pStyle w:val="Style21"/>
              <w:widowControl/>
              <w:suppressAutoHyphens w:val="true"/>
              <w:spacing w:lineRule="auto" w:line="240" w:before="60" w:after="60"/>
              <w:rPr/>
            </w:pPr>
            <w:r>
              <w:rPr>
                <w:rFonts w:eastAsia="Calibri" w:cs="Arial"/>
                <w:kern w:val="0"/>
                <w:sz w:val="26"/>
                <w:szCs w:val="22"/>
                <w:shd w:fill="auto" w:val="clear"/>
                <w:lang w:val="ru-RU" w:eastAsia="en-US" w:bidi="ar-SA"/>
              </w:rPr>
              <w:t>Лот № 11036009-РЕМ ПРОД-2027-ДГК-РГРЭС</w:t>
            </w:r>
            <w:r>
              <w:rPr>
                <w:rStyle w:val="Style3"/>
                <w:rFonts w:eastAsia="Calibri" w:cs="Arial"/>
                <w:kern w:val="0"/>
                <w:sz w:val="26"/>
                <w:szCs w:val="22"/>
                <w:shd w:fill="auto" w:val="clear"/>
                <w:lang w:val="ru-RU" w:eastAsia="en-US" w:bidi="ar-SA"/>
              </w:rPr>
              <w:t xml:space="preserve"> ОКПД2 43.99.90 Выполнение работ по капитальному ремонту кирпичных газоходов дымовой трубы № 4 Райчихинской ГРЭС, пгт Прогресс (ПП: 7.1-Рем-2026-РГРЭС)</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0"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81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4" w:name="_Ref125367124"/>
            <w:bookmarkStart w:id="15" w:name="_Ref125367124"/>
            <w:bookmarkEnd w:id="15"/>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6" w:name="_Ref125360764"/>
            <w:bookmarkStart w:id="17" w:name="_Ref125360764"/>
            <w:bookmarkEnd w:id="17"/>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816" w:type="dxa"/>
            <w:tcBorders/>
          </w:tcPr>
          <w:p>
            <w:pPr>
              <w:pStyle w:val="Normal"/>
              <w:widowControl/>
              <w:suppressAutoHyphens w:val="true"/>
              <w:spacing w:lineRule="auto" w:line="240" w:before="60" w:after="60"/>
              <w:jc w:val="left"/>
              <w:rPr>
                <w:rFonts w:ascii="Calibri" w:hAnsi="Calibri" w:eastAsia="Calibri"/>
                <w:b/>
                <w:bCs/>
                <w:color w:val="365F91"/>
                <w:sz w:val="22"/>
                <w:szCs w:val="22"/>
              </w:rPr>
            </w:pPr>
            <w:r>
              <w:rPr>
                <w:rFonts w:eastAsia="Calibri" w:cs="Arial"/>
                <w:kern w:val="0"/>
                <w:sz w:val="26"/>
                <w:szCs w:val="26"/>
                <w:lang w:val="ru-RU" w:eastAsia="en-US" w:bidi="ar-SA"/>
              </w:rPr>
              <w:t>Закупка проводится с помощью Единой электронной торговой площадки Росэлторг</w:t>
            </w:r>
            <w:r>
              <w:rPr>
                <w:rFonts w:eastAsia="Calibri" w:cs="Arial" w:ascii="Calibri" w:hAnsi="Calibri"/>
                <w:color w:val="1F497D"/>
                <w:kern w:val="0"/>
                <w:sz w:val="26"/>
                <w:szCs w:val="26"/>
                <w:lang w:val="ru-RU" w:eastAsia="en-US" w:bidi="ar-SA"/>
              </w:rPr>
              <w:t xml:space="preserve"> </w:t>
            </w:r>
            <w:r>
              <w:rPr>
                <w:rStyle w:val="Hyperlink"/>
                <w:rFonts w:eastAsia="Calibri" w:cs="Arial"/>
                <w:kern w:val="0"/>
                <w:sz w:val="26"/>
                <w:szCs w:val="26"/>
                <w:lang w:val="ru-RU" w:eastAsia="en-US" w:bidi="ar-SA"/>
              </w:rPr>
              <w:t>https://corp.roseltorg.ru/</w:t>
            </w:r>
          </w:p>
          <w:p>
            <w:pPr>
              <w:pStyle w:val="Style21"/>
              <w:widowControl/>
              <w:suppressAutoHyphens w:val="true"/>
              <w:spacing w:lineRule="auto" w:line="240" w:before="60" w:after="60"/>
              <w:rPr/>
            </w:pPr>
            <w:r>
              <w:rPr>
                <w:rFonts w:eastAsia="Calibri" w:cs="Arial"/>
                <w:kern w:val="0"/>
                <w:sz w:val="26"/>
                <w:szCs w:val="26"/>
                <w:lang w:val="ru-RU" w:eastAsia="en-US" w:bidi="ar-SA"/>
              </w:rPr>
              <w:t xml:space="preserve">Регламент ЭТП, в соответствии с которым проводится закупка, размещен по адресу: </w:t>
            </w:r>
            <w:hyperlink r:id="rId3" w:tgtFrame="https://www.roseltorg.ru/knowledge_db/docs?55">
              <w:r>
                <w:rPr>
                  <w:rStyle w:val="Hyperlink"/>
                  <w:rFonts w:eastAsia="Calibri" w:cs="Arial"/>
                  <w:kern w:val="0"/>
                  <w:sz w:val="26"/>
                  <w:szCs w:val="26"/>
                  <w:lang w:val="ru-RU" w:eastAsia="en-US" w:bidi="ar-SA"/>
                </w:rPr>
                <w:t>https://www.roseltorg.ru/knowledge_db/docs?55</w:t>
              </w:r>
            </w:hyperlink>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8" w:name="_Ref125360970"/>
            <w:bookmarkStart w:id="19" w:name="_Ref125360970"/>
            <w:bookmarkEnd w:id="19"/>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Участники:</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suppressAutoHyphens w:val="true"/>
              <w:spacing w:lineRule="auto" w:line="240" w:before="6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0" w:name="_Ref125360988"/>
            <w:bookmarkStart w:id="21" w:name="_Ref125360988"/>
            <w:bookmarkEnd w:id="21"/>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816" w:type="dxa"/>
            <w:tcBorders/>
          </w:tcPr>
          <w:p>
            <w:pPr>
              <w:pStyle w:val="Style21"/>
              <w:widowControl/>
              <w:suppressAutoHyphens w:val="true"/>
              <w:spacing w:lineRule="auto" w:line="240" w:before="60" w:after="60"/>
              <w:ind w:hanging="0" w:left="0" w:right="34"/>
              <w:rPr>
                <w:b w:val="false"/>
                <w:sz w:val="20"/>
                <w:szCs w:val="20"/>
                <w:u w:val="none"/>
                <w14:ligatures w14:val="none"/>
              </w:rPr>
            </w:pPr>
            <w:r>
              <w:rPr>
                <w:rFonts w:eastAsia="Calibri" w:cs="Arial"/>
                <w:kern w:val="0"/>
                <w:sz w:val="26"/>
                <w:szCs w:val="26"/>
                <w:lang w:val="ru-RU" w:eastAsia="en-US" w:bidi="ar-SA"/>
              </w:rPr>
              <w:t>Наименование (полное и сокращенное): Акционерного общества «Дальневосточная генерирующая компания» (АО «ДГК»)</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Место нахождения: 680000, г. Хабаровск, ул. Фрунзе, д. 49</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Почтовый адрес: 680000, г. Хабаровск, ул. Фрунзе, д. 49</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Адрес электронной почты: dgk@dgk.ru</w:t>
            </w:r>
          </w:p>
          <w:p>
            <w:pPr>
              <w:pStyle w:val="Style21"/>
              <w:widowControl/>
              <w:suppressAutoHyphens w:val="true"/>
              <w:spacing w:lineRule="auto" w:line="240" w:before="60" w:after="60"/>
              <w:ind w:hanging="0" w:left="0" w:right="34"/>
              <w:rPr>
                <w:highlight w:val="none"/>
                <w14:ligatures w14:val="none"/>
              </w:rPr>
            </w:pPr>
            <w:r>
              <w:rPr>
                <w:rFonts w:eastAsia="Calibri" w:cs="Arial"/>
                <w:kern w:val="0"/>
                <w:sz w:val="26"/>
                <w:szCs w:val="26"/>
                <w:lang w:val="ru-RU" w:eastAsia="en-US" w:bidi="ar-SA"/>
              </w:rPr>
              <w:t>Контактный телефон: +7 (4212) 26-41-48</w:t>
            </w:r>
          </w:p>
          <w:p>
            <w:pPr>
              <w:pStyle w:val="Normal"/>
              <w:widowControl w:val="false"/>
              <w:suppressAutoHyphens w:val="true"/>
              <w:spacing w:lineRule="auto" w:line="240" w:before="60" w:after="60"/>
              <w:ind w:hanging="0"/>
              <w:jc w:val="left"/>
              <w:rPr>
                <w:rFonts w:ascii="Times New Roman" w:hAnsi="Times New Roman" w:eastAsia="Calibri" w:cs="Arial"/>
                <w:kern w:val="0"/>
                <w:lang w:val="ru-RU" w:eastAsia="en-US" w:bidi="ar-SA"/>
              </w:rPr>
            </w:pPr>
            <w:r>
              <w:rPr>
                <w:rFonts w:eastAsia="Calibri" w:cs="Arial"/>
                <w:b/>
                <w:bCs/>
                <w:kern w:val="0"/>
                <w:sz w:val="26"/>
                <w:szCs w:val="26"/>
                <w:highlight w:val="white"/>
                <w:lang w:val="ru-RU" w:eastAsia="en-US" w:bidi="ar-SA"/>
              </w:rPr>
              <w:t xml:space="preserve">По вопросу заключения Договора обращаться к </w:t>
            </w:r>
            <w:r>
              <w:rPr>
                <w:rFonts w:eastAsia="Calibri" w:cs="Arial"/>
                <w:b w:val="false"/>
                <w:bCs/>
                <w:i/>
                <w:kern w:val="0"/>
                <w:sz w:val="26"/>
                <w:szCs w:val="26"/>
                <w:highlight w:val="white"/>
                <w:lang w:val="ru-RU" w:eastAsia="en-US" w:bidi="ar-SA"/>
              </w:rPr>
              <w:t>Инженер сме</w:t>
            </w:r>
            <w:r>
              <w:rPr>
                <w:rFonts w:eastAsia="Calibri" w:cs="Arial"/>
                <w:b w:val="false"/>
                <w:bCs/>
                <w:i/>
                <w:kern w:val="0"/>
                <w:sz w:val="26"/>
                <w:szCs w:val="26"/>
                <w:highlight w:val="white"/>
                <w:lang w:val="ru-RU" w:eastAsia="en-US" w:bidi="ar-SA"/>
              </w:rPr>
              <w:t>т</w:t>
            </w:r>
            <w:r>
              <w:rPr>
                <w:rFonts w:eastAsia="Calibri" w:cs="Arial"/>
                <w:b w:val="false"/>
                <w:bCs/>
                <w:i/>
                <w:kern w:val="0"/>
                <w:sz w:val="26"/>
                <w:szCs w:val="26"/>
                <w:highlight w:val="white"/>
                <w:lang w:val="ru-RU" w:eastAsia="en-US" w:bidi="ar-SA"/>
              </w:rPr>
              <w:t>чик 1 кат. ОППР СП «Райчихинская ГРЭС» - Иванченко Светлана Владимировна  тел. +7(41647)4-64-56</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2" w:name="_Ref125360954"/>
            <w:bookmarkStart w:id="23" w:name="_Ref125360954"/>
            <w:bookmarkEnd w:id="23"/>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816" w:type="dxa"/>
            <w:tcBorders/>
          </w:tcPr>
          <w:p>
            <w:pPr>
              <w:pStyle w:val="Style21"/>
              <w:widowControl/>
              <w:suppressAutoHyphens w:val="true"/>
              <w:spacing w:lineRule="auto" w:line="240" w:before="60" w:after="60"/>
              <w:ind w:hanging="0" w:left="0" w:right="34"/>
              <w:rPr>
                <w:sz w:val="20"/>
                <w:szCs w:val="20"/>
                <w14:ligatures w14:val="none"/>
              </w:rPr>
            </w:pPr>
            <w:r>
              <w:rPr>
                <w:rFonts w:eastAsia="Calibri" w:cs="Arial"/>
                <w:kern w:val="0"/>
                <w:sz w:val="26"/>
                <w:szCs w:val="26"/>
                <w:lang w:val="ru-RU" w:eastAsia="en-US" w:bidi="ar-SA"/>
              </w:rPr>
              <w:t>Акционерное общество «Дальневосточная генерирующая компания» (далее - АО «ДГК»)</w:t>
            </w:r>
          </w:p>
          <w:p>
            <w:pPr>
              <w:pStyle w:val="Style21"/>
              <w:widowControl/>
              <w:suppressAutoHyphens w:val="true"/>
              <w:spacing w:lineRule="auto" w:line="240" w:before="60" w:after="60"/>
              <w:ind w:hanging="0" w:left="0" w:right="34"/>
              <w:rPr>
                <w:sz w:val="20"/>
                <w:szCs w:val="20"/>
                <w14:ligatures w14:val="none"/>
              </w:rPr>
            </w:pPr>
            <w:r>
              <w:rPr>
                <w:rFonts w:eastAsia="Calibri" w:cs="Arial"/>
                <w:kern w:val="0"/>
                <w:sz w:val="26"/>
                <w:szCs w:val="26"/>
                <w:lang w:val="ru-RU" w:eastAsia="en-US" w:bidi="ar-SA"/>
              </w:rPr>
              <w:t>Место нахождения: 680000, г. Хабаровск, ул. Фрунзе, д. 49</w:t>
            </w:r>
          </w:p>
          <w:p>
            <w:pPr>
              <w:pStyle w:val="Style21"/>
              <w:widowControl/>
              <w:suppressAutoHyphens w:val="true"/>
              <w:spacing w:lineRule="auto" w:line="240" w:before="60" w:after="60"/>
              <w:ind w:hanging="0" w:left="0" w:right="34"/>
              <w:rPr>
                <w:sz w:val="20"/>
                <w:szCs w:val="20"/>
                <w14:ligatures w14:val="none"/>
              </w:rPr>
            </w:pPr>
            <w:r>
              <w:rPr>
                <w:rFonts w:eastAsia="Calibri" w:cs="Arial"/>
                <w:kern w:val="0"/>
                <w:sz w:val="26"/>
                <w:szCs w:val="26"/>
                <w:lang w:val="ru-RU" w:eastAsia="en-US" w:bidi="ar-SA"/>
              </w:rPr>
              <w:t>Почтовый адрес: 680000, г. Хабаровск, ул. Фрунзе, д. 49</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Адрес электронной почты: dgk@dgk.ru</w:t>
            </w:r>
          </w:p>
          <w:p>
            <w:pPr>
              <w:pStyle w:val="Style21"/>
              <w:widowControl/>
              <w:suppressAutoHyphens w:val="true"/>
              <w:spacing w:lineRule="auto" w:line="240" w:before="60" w:after="60"/>
              <w:ind w:hanging="0" w:left="0" w:right="34"/>
              <w:rPr>
                <w:b/>
                <w:szCs w:val="20"/>
                <w14:ligatures w14:val="none"/>
              </w:rPr>
            </w:pPr>
            <w:r>
              <w:rPr>
                <w:rFonts w:eastAsia="Calibri" w:cs="Arial"/>
                <w:kern w:val="0"/>
                <w:sz w:val="26"/>
                <w:szCs w:val="26"/>
                <w:lang w:val="ru-RU" w:eastAsia="en-US" w:bidi="ar-SA"/>
              </w:rPr>
              <w:t>Контактный телефон: +7(4212) 26-41-48</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4" w:name="_Ref125361238"/>
            <w:bookmarkStart w:id="25" w:name="_Ref125361238"/>
            <w:bookmarkEnd w:id="25"/>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816" w:type="dxa"/>
            <w:tcBorders/>
          </w:tcPr>
          <w:p>
            <w:pPr>
              <w:pStyle w:val="Style21"/>
              <w:widowControl/>
              <w:suppressAutoHyphens w:val="true"/>
              <w:spacing w:lineRule="auto" w:line="240" w:before="60" w:after="60"/>
              <w:ind w:hanging="0" w:left="0" w:right="34"/>
              <w:rPr>
                <w:sz w:val="26"/>
                <w:szCs w:val="26"/>
                <w:highlight w:val="none"/>
              </w:rPr>
            </w:pPr>
            <w:r>
              <w:rPr>
                <w:rFonts w:eastAsia="Calibri" w:cs="Arial"/>
                <w:kern w:val="0"/>
                <w:sz w:val="26"/>
                <w:szCs w:val="26"/>
                <w:lang w:val="ru-RU" w:eastAsia="en-US" w:bidi="ar-SA"/>
              </w:rPr>
              <w:t xml:space="preserve">По вопросам организации и проведения закупочной процедуры:  ведущий специалист отдела проведения закупок работ и услуг АО «ДГК» Никитина Надежда Викторовна, контактный телефон (4212) 26-41-48, адрес электронной почты: </w:t>
            </w:r>
            <w:hyperlink r:id="rId4" w:tgtFrame="http://nikitina-nv@dgk.ru">
              <w:r>
                <w:rPr>
                  <w:rStyle w:val="Hyperlink"/>
                  <w:rFonts w:eastAsia="Calibri" w:cs="Arial"/>
                  <w:kern w:val="0"/>
                  <w:sz w:val="26"/>
                  <w:szCs w:val="26"/>
                  <w:lang w:val="ru-RU" w:eastAsia="en-US" w:bidi="ar-SA"/>
                </w:rPr>
                <w:t>nikitina-nv@dgk.ru</w:t>
              </w:r>
            </w:hyperlink>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 w:name="_Ref125362694"/>
            <w:bookmarkStart w:id="27" w:name="_Ref125362694"/>
            <w:bookmarkEnd w:id="27"/>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 w:name="_Ref125360963"/>
            <w:bookmarkStart w:id="29" w:name="_Ref125360963"/>
            <w:bookmarkEnd w:id="29"/>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shd w:fill="auto" w:val="clear"/>
                <w:lang w:val="ru-RU" w:eastAsia="en-US" w:bidi="ar-SA"/>
              </w:rPr>
              <w:t>02</w:t>
            </w:r>
            <w:r>
              <w:rPr>
                <w:rFonts w:eastAsia="Calibri" w:cs="Arial" w:cstheme="minorBidi" w:eastAsiaTheme="minorHAnsi"/>
                <w:kern w:val="0"/>
                <w:sz w:val="26"/>
                <w:szCs w:val="22"/>
                <w:shd w:fill="auto" w:val="clear"/>
                <w:lang w:val="ru-RU" w:eastAsia="en-US" w:bidi="ar-SA"/>
              </w:rPr>
              <w:t>»</w:t>
            </w:r>
            <w:r>
              <w:rPr>
                <w:rFonts w:eastAsia="Calibri" w:cs="Arial"/>
                <w:kern w:val="0"/>
                <w:sz w:val="26"/>
                <w:szCs w:val="22"/>
                <w:shd w:fill="auto" w:val="clear"/>
                <w:lang w:val="ru-RU" w:eastAsia="en-US" w:bidi="ar-SA"/>
              </w:rPr>
              <w:t xml:space="preserve"> </w:t>
            </w:r>
            <w:r>
              <w:rPr>
                <w:rFonts w:eastAsia="Calibri" w:cs="Arial"/>
                <w:kern w:val="0"/>
                <w:sz w:val="26"/>
                <w:szCs w:val="22"/>
                <w:shd w:fill="auto" w:val="clear"/>
                <w:lang w:val="ru-RU" w:eastAsia="en-US" w:bidi="ar-SA"/>
              </w:rPr>
              <w:t>ноября</w:t>
            </w:r>
            <w:r>
              <w:rPr>
                <w:rFonts w:eastAsia="Calibri" w:cs="Arial"/>
                <w:kern w:val="0"/>
                <w:sz w:val="26"/>
                <w:szCs w:val="22"/>
                <w:lang w:val="ru-RU" w:eastAsia="en-US" w:bidi="ar-SA"/>
              </w:rPr>
              <w:t xml:space="preserve">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 w:name="_Ref125362837"/>
            <w:bookmarkStart w:id="31" w:name="_Ref125362837"/>
            <w:bookmarkEnd w:id="31"/>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НМЦ составляет </w:t>
            </w:r>
            <w:r>
              <w:rPr>
                <w:rFonts w:eastAsia="Calibri" w:cs="Arial"/>
                <w:kern w:val="0"/>
                <w:sz w:val="26"/>
                <w:szCs w:val="22"/>
                <w:lang w:val="ru-RU" w:eastAsia="en-US" w:bidi="ar-SA"/>
              </w:rPr>
              <w:t>11 019 208,12</w:t>
            </w:r>
            <w:r>
              <w:rPr>
                <w:rFonts w:eastAsia="Calibri" w:cs="Arial"/>
                <w:kern w:val="0"/>
                <w:sz w:val="26"/>
                <w:szCs w:val="22"/>
                <w:lang w:val="ru-RU" w:eastAsia="en-US" w:bidi="ar-SA"/>
              </w:rPr>
              <w:t> руб., без учета НДС.</w:t>
            </w:r>
          </w:p>
          <w:p>
            <w:pPr>
              <w:pStyle w:val="Style21"/>
              <w:widowControl/>
              <w:suppressAutoHyphens w:val="true"/>
              <w:spacing w:lineRule="auto" w:line="240" w:before="6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 w:name="_Ref125363076"/>
            <w:bookmarkStart w:id="33" w:name="_Ref125363076"/>
            <w:bookmarkEnd w:id="33"/>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1"/>
              <w:widowControl/>
              <w:suppressAutoHyphens w:val="true"/>
              <w:spacing w:lineRule="auto" w:line="240" w:before="60" w:after="60"/>
              <w:rPr/>
            </w:pPr>
            <w:r>
              <w:rPr>
                <w:rStyle w:val="Style3"/>
                <w:rFonts w:eastAsia="Calibri" w:cs="Arial"/>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 w:name="_Ref125362995"/>
            <w:bookmarkStart w:id="35" w:name="_Ref125362995"/>
            <w:bookmarkEnd w:id="35"/>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81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 w:name="_Ref125475086"/>
            <w:bookmarkStart w:id="37" w:name="_Ref125475086"/>
            <w:bookmarkEnd w:id="37"/>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и порядок</w:t>
              <w:br/>
              <w:t>подачи заявок:</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 w:name="_Ref125360779"/>
            <w:bookmarkStart w:id="39" w:name="_Ref125360779"/>
            <w:bookmarkEnd w:id="39"/>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shd w:fill="auto" w:val="clear"/>
                <w:lang w:val="ru-RU" w:eastAsia="en-US" w:bidi="ar-SA"/>
              </w:rPr>
              <w:t>«</w:t>
            </w:r>
            <w:r>
              <w:rPr>
                <w:rFonts w:eastAsia="Calibri" w:cs="Arial" w:cstheme="minorBidi" w:eastAsiaTheme="minorHAnsi"/>
                <w:kern w:val="0"/>
                <w:sz w:val="26"/>
                <w:szCs w:val="22"/>
                <w:shd w:fill="auto" w:val="clear"/>
                <w:lang w:val="ru-RU" w:eastAsia="en-US" w:bidi="ar-SA"/>
              </w:rPr>
              <w:t>02</w:t>
            </w:r>
            <w:r>
              <w:rPr>
                <w:rFonts w:eastAsia="Calibri" w:cs="Arial"/>
                <w:kern w:val="0"/>
                <w:sz w:val="26"/>
                <w:szCs w:val="22"/>
                <w:shd w:fill="auto" w:val="clear"/>
                <w:lang w:val="ru-RU" w:eastAsia="en-US" w:bidi="ar-SA"/>
              </w:rPr>
              <w:t xml:space="preserve">» </w:t>
            </w:r>
            <w:r>
              <w:rPr>
                <w:rFonts w:eastAsia="Calibri" w:cs="Arial"/>
                <w:kern w:val="0"/>
                <w:sz w:val="26"/>
                <w:szCs w:val="22"/>
                <w:shd w:fill="auto" w:val="clear"/>
                <w:lang w:val="ru-RU" w:eastAsia="en-US" w:bidi="ar-SA"/>
              </w:rPr>
              <w:t>ноября</w:t>
            </w:r>
            <w:r>
              <w:rPr>
                <w:rFonts w:eastAsia="Calibri" w:cs="Arial"/>
                <w:kern w:val="0"/>
                <w:sz w:val="26"/>
                <w:szCs w:val="22"/>
                <w:lang w:val="ru-RU" w:eastAsia="en-US" w:bidi="ar-SA"/>
              </w:rPr>
              <w:t xml:space="preserve"> 2026 г.</w:t>
            </w:r>
          </w:p>
          <w:p>
            <w:pPr>
              <w:pStyle w:val="Style21"/>
              <w:widowControl/>
              <w:suppressAutoHyphens w:val="true"/>
              <w:spacing w:lineRule="auto" w:line="240" w:before="60" w:after="60"/>
              <w:rPr/>
            </w:pPr>
            <w:r>
              <w:rPr>
                <w:rFonts w:eastAsia="Calibri" w:cs="Arial"/>
                <w:kern w:val="0"/>
                <w:sz w:val="26"/>
                <w:szCs w:val="22"/>
                <w:lang w:val="ru-RU" w:eastAsia="en-US" w:bidi="ar-SA"/>
              </w:rPr>
              <w:t>Дата и время окончания срока подачи заявок:</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shd w:fill="auto" w:val="clear"/>
                <w:lang w:val="ru-RU" w:eastAsia="en-US" w:bidi="ar-SA"/>
              </w:rPr>
              <w:t>«</w:t>
            </w:r>
            <w:r>
              <w:rPr>
                <w:rFonts w:eastAsia="Calibri" w:cs="Arial" w:cstheme="minorBidi" w:eastAsiaTheme="minorHAnsi"/>
                <w:kern w:val="0"/>
                <w:sz w:val="26"/>
                <w:szCs w:val="22"/>
                <w:shd w:fill="auto" w:val="clear"/>
                <w:lang w:val="ru-RU" w:eastAsia="en-US" w:bidi="ar-SA"/>
              </w:rPr>
              <w:t>12</w:t>
            </w:r>
            <w:r>
              <w:rPr>
                <w:rFonts w:eastAsia="Calibri" w:cs="Arial"/>
                <w:kern w:val="0"/>
                <w:sz w:val="26"/>
                <w:szCs w:val="22"/>
                <w:shd w:fill="auto" w:val="clear"/>
                <w:lang w:val="ru-RU" w:eastAsia="en-US" w:bidi="ar-SA"/>
              </w:rPr>
              <w:t>»</w:t>
            </w:r>
            <w:r>
              <w:rPr>
                <w:rFonts w:eastAsia="Calibri" w:cs="Arial"/>
                <w:kern w:val="0"/>
                <w:sz w:val="26"/>
                <w:szCs w:val="22"/>
                <w:lang w:val="ru-RU" w:eastAsia="en-US" w:bidi="ar-SA"/>
              </w:rPr>
              <w:t xml:space="preserve"> </w:t>
            </w:r>
            <w:r>
              <w:rPr>
                <w:rFonts w:eastAsia="Calibri" w:cs="Arial"/>
                <w:kern w:val="0"/>
                <w:sz w:val="26"/>
                <w:szCs w:val="22"/>
                <w:lang w:val="ru-RU" w:eastAsia="en-US" w:bidi="ar-SA"/>
              </w:rPr>
              <w:t>ноября</w:t>
            </w:r>
            <w:r>
              <w:rPr>
                <w:rFonts w:eastAsia="Calibri" w:cs="Arial"/>
                <w:kern w:val="0"/>
                <w:sz w:val="26"/>
                <w:szCs w:val="22"/>
                <w:lang w:val="ru-RU" w:eastAsia="en-US" w:bidi="ar-SA"/>
              </w:rPr>
              <w:t xml:space="preserve"> 2026 г. в 15 ч. 00 мин.</w:t>
            </w:r>
          </w:p>
          <w:p>
            <w:pPr>
              <w:pStyle w:val="Style21"/>
              <w:widowControl/>
              <w:suppressAutoHyphens w:val="true"/>
              <w:spacing w:lineRule="auto" w:line="240" w:before="60" w:after="60"/>
              <w:rPr/>
            </w:pPr>
            <w:r>
              <w:rPr>
                <w:rFonts w:eastAsia="Calibri" w:cs="Arial"/>
                <w:kern w:val="0"/>
                <w:sz w:val="26"/>
                <w:szCs w:val="22"/>
                <w:lang w:val="ru-RU" w:eastAsia="en-US" w:bidi="ar-SA"/>
              </w:rPr>
              <w:t>(по местному времени Организатора).</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shd w:fill="auto" w:val="clear"/>
                <w:lang w:val="ru-RU" w:eastAsia="en-US" w:bidi="ar-SA"/>
              </w:rPr>
              <w:t>«</w:t>
            </w:r>
            <w:r>
              <w:rPr>
                <w:rFonts w:eastAsia="Calibri" w:cs="Arial" w:cstheme="minorBidi" w:eastAsiaTheme="minorHAnsi"/>
                <w:kern w:val="0"/>
                <w:sz w:val="26"/>
                <w:szCs w:val="22"/>
                <w:shd w:fill="auto" w:val="clear"/>
                <w:lang w:val="ru-RU" w:eastAsia="en-US" w:bidi="ar-SA"/>
              </w:rPr>
              <w:t>12</w:t>
            </w:r>
            <w:r>
              <w:rPr>
                <w:rFonts w:eastAsia="Calibri" w:cs="Arial"/>
                <w:kern w:val="0"/>
                <w:sz w:val="26"/>
                <w:szCs w:val="22"/>
                <w:shd w:fill="auto" w:val="clear"/>
                <w:lang w:val="ru-RU" w:eastAsia="en-US" w:bidi="ar-SA"/>
              </w:rPr>
              <w:t xml:space="preserve">» </w:t>
            </w:r>
            <w:r>
              <w:rPr>
                <w:rFonts w:eastAsia="Calibri" w:cs="Arial"/>
                <w:kern w:val="0"/>
                <w:sz w:val="26"/>
                <w:szCs w:val="22"/>
                <w:shd w:fill="auto" w:val="clear"/>
                <w:lang w:val="ru-RU" w:eastAsia="en-US" w:bidi="ar-SA"/>
              </w:rPr>
              <w:t>ноября</w:t>
            </w:r>
            <w:r>
              <w:rPr>
                <w:rFonts w:eastAsia="Calibri" w:cs="Arial"/>
                <w:kern w:val="0"/>
                <w:sz w:val="26"/>
                <w:szCs w:val="22"/>
                <w:lang w:val="ru-RU" w:eastAsia="en-US" w:bidi="ar-SA"/>
              </w:rPr>
              <w:t xml:space="preserve"> 2026 г. в 15 ч. 00 мин.</w:t>
            </w:r>
          </w:p>
          <w:p>
            <w:pPr>
              <w:pStyle w:val="Style21"/>
              <w:widowControl/>
              <w:suppressAutoHyphens w:val="true"/>
              <w:spacing w:lineRule="auto" w:line="240" w:before="60" w:after="60"/>
              <w:rPr/>
            </w:pPr>
            <w:r>
              <w:rPr>
                <w:rFonts w:eastAsia="Calibri" w:cs="Arial"/>
                <w:kern w:val="0"/>
                <w:sz w:val="26"/>
                <w:szCs w:val="22"/>
                <w:lang w:val="ru-RU" w:eastAsia="en-US" w:bidi="ar-SA"/>
              </w:rPr>
              <w:t>(по местному времени Организатора).</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0" w:name="_Ref125476197"/>
            <w:bookmarkStart w:id="41" w:name="_Ref125476197"/>
            <w:bookmarkEnd w:id="41"/>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2" w:name="_Ref125362733"/>
            <w:bookmarkStart w:id="43" w:name="_Ref125362733"/>
            <w:bookmarkEnd w:id="43"/>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первых частей заявок:</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shd w:fill="auto" w:val="clear"/>
                <w:lang w:val="ru-RU" w:eastAsia="en-US" w:bidi="ar-SA"/>
              </w:rPr>
              <w:t>«</w:t>
            </w:r>
            <w:r>
              <w:rPr>
                <w:rFonts w:eastAsia="Calibri" w:cs="Arial" w:cstheme="minorBidi" w:eastAsiaTheme="minorHAnsi"/>
                <w:kern w:val="0"/>
                <w:sz w:val="26"/>
                <w:szCs w:val="22"/>
                <w:shd w:fill="auto" w:val="clear"/>
                <w:lang w:val="ru-RU" w:eastAsia="en-US" w:bidi="ar-SA"/>
              </w:rPr>
              <w:t>19</w:t>
            </w:r>
            <w:r>
              <w:rPr>
                <w:rFonts w:eastAsia="Calibri" w:cs="Arial"/>
                <w:kern w:val="0"/>
                <w:sz w:val="26"/>
                <w:szCs w:val="22"/>
                <w:shd w:fill="auto" w:val="clear"/>
                <w:lang w:val="ru-RU" w:eastAsia="en-US" w:bidi="ar-SA"/>
              </w:rPr>
              <w:t xml:space="preserve">» </w:t>
            </w:r>
            <w:r>
              <w:rPr>
                <w:rFonts w:eastAsia="Calibri" w:cs="Arial"/>
                <w:kern w:val="0"/>
                <w:sz w:val="26"/>
                <w:szCs w:val="22"/>
                <w:shd w:fill="auto" w:val="clear"/>
                <w:lang w:val="ru-RU" w:eastAsia="en-US" w:bidi="ar-SA"/>
              </w:rPr>
              <w:t>ноя</w:t>
            </w:r>
            <w:r>
              <w:rPr>
                <w:rFonts w:eastAsia="Calibri" w:cs="Arial"/>
                <w:kern w:val="0"/>
                <w:sz w:val="26"/>
                <w:szCs w:val="22"/>
                <w:lang w:val="ru-RU" w:eastAsia="en-US" w:bidi="ar-SA"/>
              </w:rPr>
              <w:t>бря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4" w:name="_Ref132898515"/>
            <w:bookmarkStart w:id="45" w:name="_Ref132898515"/>
            <w:bookmarkEnd w:id="45"/>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shd w:fill="auto" w:val="clear"/>
                <w:lang w:val="ru-RU" w:eastAsia="en-US" w:bidi="ar-SA"/>
              </w:rPr>
              <w:t>«</w:t>
            </w:r>
            <w:r>
              <w:rPr>
                <w:rFonts w:eastAsia="Calibri" w:cs="Arial" w:cstheme="minorBidi" w:eastAsiaTheme="minorHAnsi"/>
                <w:kern w:val="0"/>
                <w:sz w:val="26"/>
                <w:szCs w:val="22"/>
                <w:shd w:fill="auto" w:val="clear"/>
                <w:lang w:val="ru-RU" w:eastAsia="en-US" w:bidi="ar-SA"/>
              </w:rPr>
              <w:t>02</w:t>
            </w:r>
            <w:r>
              <w:rPr>
                <w:rFonts w:eastAsia="Calibri" w:cs="Arial"/>
                <w:kern w:val="0"/>
                <w:sz w:val="26"/>
                <w:szCs w:val="22"/>
                <w:shd w:fill="auto" w:val="clear"/>
                <w:lang w:val="ru-RU" w:eastAsia="en-US" w:bidi="ar-SA"/>
              </w:rPr>
              <w:t xml:space="preserve">» </w:t>
            </w:r>
            <w:r>
              <w:rPr>
                <w:rFonts w:eastAsia="Calibri" w:cs="Arial"/>
                <w:kern w:val="0"/>
                <w:sz w:val="26"/>
                <w:szCs w:val="22"/>
                <w:shd w:fill="auto" w:val="clear"/>
                <w:lang w:val="ru-RU" w:eastAsia="en-US" w:bidi="ar-SA"/>
              </w:rPr>
              <w:t>декаб</w:t>
            </w:r>
            <w:r>
              <w:rPr>
                <w:rFonts w:eastAsia="Calibri" w:cs="Arial"/>
                <w:kern w:val="0"/>
                <w:sz w:val="26"/>
                <w:szCs w:val="22"/>
                <w:lang w:val="ru-RU" w:eastAsia="en-US" w:bidi="ar-SA"/>
              </w:rPr>
              <w:t>ря 2026 г.</w:t>
            </w:r>
          </w:p>
          <w:p>
            <w:pPr>
              <w:pStyle w:val="Style21"/>
              <w:widowControl/>
              <w:suppressAutoHyphens w:val="true"/>
              <w:spacing w:lineRule="auto" w:line="240" w:before="60" w:after="60"/>
              <w:rPr>
                <w:rStyle w:val="Style3"/>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6" w:name="_Ref125362757"/>
            <w:bookmarkStart w:id="47" w:name="_Ref125362757"/>
            <w:bookmarkEnd w:id="47"/>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cstheme="minorBidi" w:eastAsiaTheme="minorHAnsi"/>
                <w:kern w:val="0"/>
                <w:sz w:val="26"/>
                <w:szCs w:val="22"/>
                <w:shd w:fill="auto" w:val="clear"/>
                <w:lang w:val="ru-RU" w:eastAsia="en-US" w:bidi="ar-SA"/>
              </w:rPr>
              <w:t>02</w:t>
            </w:r>
            <w:r>
              <w:rPr>
                <w:rFonts w:eastAsia="Calibri" w:cs="Arial"/>
                <w:kern w:val="0"/>
                <w:sz w:val="26"/>
                <w:szCs w:val="22"/>
                <w:shd w:fill="auto" w:val="clear"/>
                <w:lang w:val="ru-RU" w:eastAsia="en-US" w:bidi="ar-SA"/>
              </w:rPr>
              <w:t xml:space="preserve">» </w:t>
            </w:r>
            <w:r>
              <w:rPr>
                <w:rFonts w:eastAsia="Calibri" w:cs="Arial"/>
                <w:kern w:val="0"/>
                <w:sz w:val="26"/>
                <w:szCs w:val="22"/>
                <w:shd w:fill="auto" w:val="clear"/>
                <w:lang w:val="ru-RU" w:eastAsia="en-US" w:bidi="ar-SA"/>
              </w:rPr>
              <w:t>дека</w:t>
            </w:r>
            <w:r>
              <w:rPr>
                <w:rFonts w:eastAsia="Calibri" w:cs="Arial"/>
                <w:kern w:val="0"/>
                <w:sz w:val="26"/>
                <w:szCs w:val="22"/>
                <w:lang w:val="ru-RU" w:eastAsia="en-US" w:bidi="ar-SA"/>
              </w:rPr>
              <w:t>бря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8" w:name="_Ref125366047"/>
            <w:bookmarkStart w:id="49" w:name="_Ref125366047"/>
            <w:bookmarkEnd w:id="49"/>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0" w:name="_Ref125361769"/>
            <w:bookmarkStart w:id="51" w:name="_Ref125361769"/>
            <w:bookmarkEnd w:id="51"/>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 итогов закупки:</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2" w:name="_Ref125366606"/>
            <w:bookmarkStart w:id="53" w:name="_Ref125366606"/>
            <w:bookmarkEnd w:id="53"/>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4" w:name="_Ref125366813"/>
            <w:bookmarkStart w:id="55" w:name="_Ref125366813"/>
            <w:bookmarkEnd w:id="55"/>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6" w:type="dxa"/>
            <w:tcBorders/>
          </w:tcPr>
          <w:p>
            <w:pPr>
              <w:pStyle w:val="Style21"/>
              <w:keepNext w:val="true"/>
              <w:widowControl/>
              <w:suppressAutoHyphens w:val="true"/>
              <w:spacing w:lineRule="auto" w:line="240" w:before="60" w:after="60"/>
              <w:rPr/>
            </w:pPr>
            <w:r>
              <w:rPr>
                <w:rFonts w:eastAsia="Calibri" w:cs="Arial"/>
                <w:kern w:val="0"/>
                <w:sz w:val="26"/>
                <w:szCs w:val="22"/>
                <w:lang w:val="ru-RU" w:eastAsia="en-US" w:bidi="ar-SA"/>
              </w:rPr>
              <w:t>Для подачи документов в бумажной форме:</w:t>
            </w:r>
          </w:p>
          <w:p>
            <w:pPr>
              <w:pStyle w:val="Style21"/>
              <w:keepNext w:val="true"/>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Контактное лицо (Ф.И.О.):</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Мечковский Александр Сергеевич</w:t>
            </w:r>
          </w:p>
          <w:p>
            <w:pPr>
              <w:pStyle w:val="Style21"/>
              <w:keepNext w:val="true"/>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Почтовый адрес:</w:t>
            </w:r>
          </w:p>
          <w:p>
            <w:pPr>
              <w:pStyle w:val="Style21"/>
              <w:widowControl/>
              <w:suppressAutoHyphens w:val="true"/>
              <w:spacing w:lineRule="auto" w:line="240" w:before="60" w:after="60"/>
              <w:rPr>
                <w:lang w:val="ru-RU"/>
              </w:rPr>
            </w:pPr>
            <w:r>
              <w:rPr>
                <w:rFonts w:eastAsia="Calibri" w:cs="Arial"/>
                <w:i/>
                <w:iCs/>
                <w:kern w:val="0"/>
                <w:sz w:val="26"/>
                <w:szCs w:val="22"/>
                <w:lang w:val="ru-RU" w:eastAsia="en-US" w:bidi="ar-SA"/>
              </w:rPr>
              <w:t>676791, Российская Федерация, пгт. Прогресс, ул. Бурейская, 1.</w:t>
            </w:r>
          </w:p>
          <w:p>
            <w:pPr>
              <w:pStyle w:val="Style21"/>
              <w:widowControl/>
              <w:suppressAutoHyphens w:val="true"/>
              <w:spacing w:lineRule="auto" w:line="240" w:before="60" w:after="60"/>
              <w:rPr>
                <w:i w:val="false"/>
                <w:i w:val="false"/>
                <w:iCs w:val="false"/>
              </w:rPr>
            </w:pPr>
            <w:r>
              <w:rPr>
                <w:rFonts w:eastAsia="Calibri" w:cs="Arial"/>
                <w:i w:val="false"/>
                <w:iCs w:val="false"/>
                <w:kern w:val="0"/>
                <w:sz w:val="26"/>
                <w:szCs w:val="22"/>
                <w:lang w:val="ru-RU" w:eastAsia="en-US" w:bidi="ar-SA"/>
              </w:rPr>
              <w:t>Для подачи документов в электронной форме:</w:t>
            </w:r>
          </w:p>
          <w:p>
            <w:pPr>
              <w:pStyle w:val="Style21"/>
              <w:widowControl/>
              <w:suppressAutoHyphens w:val="true"/>
              <w:spacing w:lineRule="auto" w:line="240" w:before="60" w:after="60"/>
              <w:rPr>
                <w:i w:val="false"/>
                <w:i w:val="false"/>
                <w:iCs w:val="false"/>
              </w:rPr>
            </w:pPr>
            <w:r>
              <w:rPr>
                <w:rFonts w:eastAsia="Calibri" w:cs="Arial"/>
                <w:i w:val="false"/>
                <w:iCs w:val="false"/>
                <w:kern w:val="0"/>
                <w:sz w:val="26"/>
                <w:szCs w:val="22"/>
                <w:lang w:val="ru-RU" w:eastAsia="en-US" w:bidi="ar-SA"/>
              </w:rPr>
              <w:t>Корпоративный сайт ПАО «РусГидро», через специально созданную учетную запись (подробный порядок содержится в разделе 5).</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6" w:name="_Ref125368490"/>
            <w:bookmarkStart w:id="57" w:name="_Ref125368490"/>
            <w:bookmarkEnd w:id="57"/>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0"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w:t>
              <w:br/>
              <w:t>исполнения Договора:</w:t>
            </w:r>
          </w:p>
        </w:tc>
        <w:tc>
          <w:tcPr>
            <w:tcW w:w="581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tc>
      </w:tr>
    </w:tbl>
    <w:p>
      <w:pPr>
        <w:pStyle w:val="Style15"/>
        <w:spacing w:before="0" w:after="0"/>
        <w:rPr/>
      </w:pPr>
      <w:bookmarkStart w:id="58" w:name="_Ref125360073"/>
      <w:bookmarkStart w:id="59" w:name="_Ref125360337"/>
      <w:bookmarkStart w:id="60" w:name="_Toc228877673"/>
      <w:r>
        <w:rPr/>
        <w:t>Общие положения</w:t>
      </w:r>
      <w:bookmarkEnd w:id="58"/>
      <w:bookmarkEnd w:id="59"/>
      <w:bookmarkEnd w:id="60"/>
    </w:p>
    <w:p>
      <w:pPr>
        <w:pStyle w:val="Style16"/>
        <w:spacing w:before="360" w:after="0"/>
        <w:rPr/>
      </w:pPr>
      <w:bookmarkStart w:id="61" w:name="_Toc228877674"/>
      <w:r>
        <w:rPr/>
        <w:t>Общие сведения о закупке</w:t>
      </w:r>
      <w:bookmarkEnd w:id="61"/>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2" w:name="_Toc228877675"/>
      <w:r>
        <w:rPr/>
        <w:t>Правовой статус документов</w:t>
      </w:r>
      <w:bookmarkEnd w:id="62"/>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4" w:name="_Ref125363536"/>
      <w:bookmarkStart w:id="65" w:name="_Toc228877676"/>
      <w:r>
        <w:rPr/>
        <w:t>Обжалование</w:t>
      </w:r>
      <w:bookmarkEnd w:id="64"/>
      <w:bookmarkEnd w:id="65"/>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21"/>
        <w:ind w:left="1134"/>
        <w:rPr/>
      </w:pPr>
      <w:r>
        <w:rPr/>
        <w:t>Закупочная комиссия определяется в соответствии с Положением о закупке.</w:t>
      </w:r>
    </w:p>
    <w:p>
      <w:pPr>
        <w:pStyle w:val="Style16"/>
        <w:spacing w:before="360" w:after="0"/>
        <w:rPr/>
      </w:pPr>
      <w:bookmarkStart w:id="68" w:name="_Toc228877677"/>
      <w:r>
        <w:rPr/>
        <w:t>Особые положения при проведении закупки с использованием ЭП</w:t>
      </w:r>
      <w:bookmarkEnd w:id="68"/>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69" w:name="_Toc228877678"/>
      <w:r>
        <w:rPr/>
        <w:t>Прочие положения</w:t>
      </w:r>
      <w:bookmarkEnd w:id="69"/>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0" w:name="_Ref125361210"/>
      <w:bookmarkStart w:id="71" w:name="_Toc228877679"/>
      <w:r>
        <w:rPr/>
        <w:t>Требования к Участникам</w:t>
      </w:r>
      <w:bookmarkEnd w:id="70"/>
      <w:bookmarkEnd w:id="71"/>
    </w:p>
    <w:p>
      <w:pPr>
        <w:pStyle w:val="Style16"/>
        <w:spacing w:before="360" w:after="0"/>
        <w:rPr/>
      </w:pPr>
      <w:bookmarkStart w:id="72" w:name="_Ref127524530"/>
      <w:bookmarkStart w:id="73" w:name="_Toc228877680"/>
      <w:r>
        <w:rPr/>
        <w:t>Общие требования к Участникам</w:t>
      </w:r>
      <w:bookmarkEnd w:id="72"/>
      <w:bookmarkEnd w:id="73"/>
    </w:p>
    <w:p>
      <w:pPr>
        <w:pStyle w:val="Style17"/>
        <w:spacing w:before="120" w:after="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17"/>
        <w:spacing w:before="0" w:after="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16"/>
        <w:spacing w:before="360" w:after="0"/>
        <w:rPr/>
      </w:pPr>
      <w:bookmarkStart w:id="78" w:name="_Toc224743787"/>
      <w:bookmarkStart w:id="79" w:name="_Toc228877681"/>
      <w:bookmarkStart w:id="80" w:name="_Toc224743786"/>
      <w:bookmarkStart w:id="81" w:name="_Toc224743784"/>
      <w:bookmarkStart w:id="82" w:name="_Toc224743783"/>
      <w:bookmarkStart w:id="83" w:name="_Toc224743782"/>
      <w:bookmarkStart w:id="84" w:name="_Toc224743781"/>
      <w:bookmarkStart w:id="85" w:name="_Toc224743793"/>
      <w:bookmarkStart w:id="86" w:name="_Ref125361969_Копия_1"/>
      <w:bookmarkStart w:id="87" w:name="_Toc224743791"/>
      <w:bookmarkStart w:id="88" w:name="_Toc224743789"/>
      <w:bookmarkStart w:id="89" w:name="_Toc224743792"/>
      <w:bookmarkStart w:id="90" w:name="_Ref125361702"/>
      <w:bookmarkStart w:id="91" w:name="_Toc224743800"/>
      <w:bookmarkStart w:id="92" w:name="_Toc224743799"/>
      <w:bookmarkStart w:id="93" w:name="_Toc224743797"/>
      <w:bookmarkStart w:id="94" w:name="_Toc224743796"/>
      <w:bookmarkStart w:id="95" w:name="_Toc224743795"/>
      <w:bookmarkStart w:id="96" w:name="_Toc224743794"/>
      <w:bookmarkStart w:id="97" w:name="_Toc224743798"/>
      <w:bookmarkStart w:id="98" w:name="_Ref125361976_Копия_1"/>
      <w:bookmarkStart w:id="99" w:name="_Toc224743785"/>
      <w:bookmarkStart w:id="100" w:name="_Toc224743801"/>
      <w:bookmarkStart w:id="101" w:name="_Toc224743790"/>
      <w:bookmarkStart w:id="102" w:name="_Toc224743788"/>
      <w:bookmarkEnd w:id="78"/>
      <w:bookmarkEnd w:id="80"/>
      <w:bookmarkEnd w:id="81"/>
      <w:bookmarkEnd w:id="82"/>
      <w:bookmarkEnd w:id="83"/>
      <w:bookmarkEnd w:id="84"/>
      <w:bookmarkEnd w:id="85"/>
      <w:bookmarkEnd w:id="86"/>
      <w:bookmarkEnd w:id="87"/>
      <w:bookmarkEnd w:id="88"/>
      <w:bookmarkEnd w:id="89"/>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9"/>
      <w:bookmarkEnd w:id="90"/>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left="1134"/>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spacing w:before="0" w:after="0"/>
        <w:rPr/>
      </w:pPr>
      <w:bookmarkStart w:id="105" w:name="_Ref125367107"/>
      <w:bookmarkStart w:id="106" w:name="_Ref125361211"/>
      <w:bookmarkStart w:id="107" w:name="_Toc228877682"/>
      <w:bookmarkStart w:id="108" w:name="_Ref125367098"/>
      <w:bookmarkStart w:id="109" w:name="_Ref125367974"/>
      <w:r>
        <w:rPr/>
        <w:t>Порядок проведения закупки</w:t>
      </w:r>
      <w:bookmarkEnd w:id="105"/>
      <w:bookmarkEnd w:id="106"/>
      <w:bookmarkEnd w:id="107"/>
      <w:bookmarkEnd w:id="108"/>
      <w:bookmarkEnd w:id="109"/>
    </w:p>
    <w:p>
      <w:pPr>
        <w:pStyle w:val="Style16"/>
        <w:spacing w:before="360" w:after="0"/>
        <w:rPr/>
      </w:pPr>
      <w:bookmarkStart w:id="110" w:name="_Ref126141932"/>
      <w:bookmarkStart w:id="111" w:name="_Toc228877683"/>
      <w:r>
        <w:rPr/>
        <w:t>Общий порядок проведения закупки</w:t>
      </w:r>
      <w:bookmarkEnd w:id="110"/>
      <w:bookmarkEnd w:id="111"/>
    </w:p>
    <w:p>
      <w:pPr>
        <w:pStyle w:val="Style17"/>
        <w:keepNext w:val="true"/>
        <w:spacing w:before="120" w:after="120"/>
        <w:rPr/>
      </w:pPr>
      <w:r>
        <w:rPr/>
        <w:t>Закупка проводится в следующем порядке:</w:t>
      </w:r>
    </w:p>
    <w:tbl>
      <w:tblPr>
        <w:tblStyle w:val="961"/>
        <w:tblW w:w="14607" w:type="dxa"/>
        <w:jc w:val="left"/>
        <w:tblInd w:w="710"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656"/>
        <w:gridCol w:w="2693"/>
        <w:gridCol w:w="2269"/>
        <w:gridCol w:w="2408"/>
      </w:tblGrid>
      <w:tr>
        <w:trPr/>
        <w:tc>
          <w:tcPr>
            <w:tcW w:w="372" w:type="dxa"/>
            <w:tcBorders>
              <w:left w:val="nil"/>
            </w:tcBorders>
            <w:vAlign w:val="bottom"/>
          </w:tcPr>
          <w:p>
            <w:pPr>
              <w:pStyle w:val="Style21"/>
              <w:keepNext w:val="true"/>
              <w:keepLines w:val="false"/>
              <w:widowControl/>
              <w:suppressAutoHyphens w:val="true"/>
              <w:spacing w:lineRule="auto" w:line="240" w:before="40" w:after="40"/>
              <w:jc w:val="center"/>
              <w:rPr>
                <w:b w:val="false"/>
                <w:bCs/>
                <w:sz w:val="24"/>
                <w:szCs w:val="24"/>
              </w:rPr>
            </w:pPr>
            <w:r>
              <w:rPr>
                <w:rFonts w:eastAsia="Wingdings 3" w:cs="Wingdings 3" w:ascii="Wingdings 3" w:hAnsi="Wingdings 3"/>
                <w:b w:val="false"/>
                <w:bCs/>
                <w:kern w:val="0"/>
                <w:sz w:val="24"/>
                <w:szCs w:val="24"/>
                <w:lang w:val="ru-RU" w:eastAsia="en-US" w:bidi="ar-SA"/>
              </w:rPr>
              <w:t>Ô</w:t>
            </w:r>
          </w:p>
        </w:tc>
        <w:tc>
          <w:tcPr>
            <w:tcW w:w="14234" w:type="dxa"/>
            <w:gridSpan w:val="6"/>
            <w:tcBorders>
              <w:right w:val="nil"/>
            </w:tcBorders>
          </w:tcPr>
          <w:p>
            <w:pPr>
              <w:pStyle w:val="Style21"/>
              <w:keepNext w:val="true"/>
              <w:keepLines w:val="false"/>
              <w:widowControl/>
              <w:suppressAutoHyphens w:val="true"/>
              <w:spacing w:lineRule="auto" w:line="240" w:before="40" w:after="40"/>
              <w:jc w:val="center"/>
              <w:rPr>
                <w:b w:val="false"/>
                <w:bCs/>
                <w:sz w:val="24"/>
                <w:szCs w:val="24"/>
              </w:rPr>
            </w:pPr>
            <w:r>
              <w:rPr>
                <w:rFonts w:eastAsia="Calibri" w:cs="Arial"/>
                <w:b/>
                <w:bCs/>
                <w:kern w:val="0"/>
                <w:sz w:val="24"/>
                <w:szCs w:val="24"/>
                <w:lang w:val="ru-RU" w:eastAsia="en-US" w:bidi="ar-SA"/>
              </w:rPr>
              <w:t>Официальное размещение Извещения и Документации о закупке (подраздел </w:t>
            </w:r>
            <w:r>
              <w:rPr>
                <w:rFonts w:eastAsia="Calibri" w:cs="Arial"/>
                <w:b/>
                <w:bCs/>
                <w:kern w:val="0"/>
                <w:sz w:val="24"/>
                <w:szCs w:val="24"/>
                <w:lang w:val="ru-RU" w:eastAsia="en-US" w:bidi="ar-SA"/>
              </w:rPr>
              <w:fldChar w:fldCharType="begin"/>
            </w:r>
            <w:r>
              <w:rPr>
                <w:sz w:val="24"/>
                <w:b/>
                <w:kern w:val="0"/>
                <w:szCs w:val="24"/>
                <w:bCs/>
                <w:rFonts w:eastAsia="Calibri" w:cs="Arial"/>
                <w:lang w:val="ru-RU" w:eastAsia="en-US" w:bidi="ar-SA"/>
              </w:rPr>
              <w:instrText xml:space="preserve"> REF _Ref130286532 \r \h </w:instrText>
            </w:r>
            <w:r>
              <w:rPr>
                <w:sz w:val="24"/>
                <w:b/>
                <w:kern w:val="0"/>
                <w:szCs w:val="24"/>
                <w:bCs/>
                <w:rFonts w:eastAsia="Calibri" w:cs="Arial"/>
                <w:lang w:val="ru-RU" w:eastAsia="en-US" w:bidi="ar-SA"/>
              </w:rPr>
              <w:fldChar w:fldCharType="separate"/>
            </w:r>
            <w:r>
              <w:rPr>
                <w:sz w:val="24"/>
                <w:b/>
                <w:kern w:val="0"/>
                <w:szCs w:val="24"/>
                <w:bCs/>
                <w:rFonts w:eastAsia="Calibri" w:cs="Arial"/>
                <w:lang w:val="ru-RU" w:eastAsia="en-US" w:bidi="ar-SA"/>
              </w:rPr>
              <w:t>4.2</w:t>
            </w:r>
            <w:r>
              <w:rPr>
                <w:sz w:val="24"/>
                <w:b/>
                <w:kern w:val="0"/>
                <w:szCs w:val="24"/>
                <w:bCs/>
                <w:rFonts w:eastAsia="Calibri" w:cs="Arial"/>
                <w:lang w:val="ru-RU" w:eastAsia="en-US" w:bidi="ar-SA"/>
              </w:rPr>
              <w:fldChar w:fldCharType="end"/>
            </w:r>
            <w:r>
              <w:rPr>
                <w:rFonts w:eastAsia="Calibri" w:cs="Arial"/>
                <w:b/>
                <w:bCs/>
                <w:kern w:val="0"/>
                <w:sz w:val="24"/>
                <w:szCs w:val="24"/>
                <w:lang w:val="ru-RU" w:eastAsia="en-US" w:bidi="ar-SA"/>
              </w:rPr>
              <w:t>)</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864" w:type="dxa"/>
            <w:gridSpan w:val="3"/>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Подготовка заявки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_Ref130281199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restart"/>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Предоставление разъяснений положений Документации о закупке</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_Ref130394205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269" w:type="dxa"/>
            <w:vMerge w:val="restart"/>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Внесение изменений в Извещение и (или) Документацию о закупке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_Ref125362076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18"/>
                <w:szCs w:val="18"/>
                <w:lang w:val="ru-RU" w:eastAsia="en-US" w:bidi="ar-SA"/>
              </w:rPr>
              <w:t>(опциональная процедура закупки)</w:t>
            </w:r>
          </w:p>
        </w:tc>
        <w:tc>
          <w:tcPr>
            <w:tcW w:w="2408" w:type="dxa"/>
            <w:vMerge w:val="restart"/>
            <w:tcBorders>
              <w:right w:val="nil"/>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Отказ от проведения закупки (отмена закупки)</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_Ref132816134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2" w:type="dxa"/>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Подача заявок и их прием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_Ref125362119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4822" w:type="dxa"/>
            <w:gridSpan w:val="2"/>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Изменение и отзыв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_Ref125362130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11826" w:type="dxa"/>
            <w:gridSpan w:val="5"/>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Открытие доступа к первым частям заявок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_Ref132816188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4.8</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408" w:type="dxa"/>
            <w:tcBorders>
              <w:bottom w:val="nil"/>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864" w:type="dxa"/>
            <w:gridSpan w:val="3"/>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Рассмотрение первых частей заявок (отборочная стадия)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_Ref125362364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4.9</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restart"/>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Направление дополнительных запросов разъяснений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_Ref125362381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269" w:type="dxa"/>
            <w:vMerge w:val="restart"/>
            <w:tcBorders>
              <w:top w:val="nil"/>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Признание закупки</w:t>
              <w:br/>
              <w:t>несостоявшейся</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_Ref125364149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408" w:type="dxa"/>
            <w:vMerge w:val="restart"/>
            <w:tcBorders>
              <w:top w:val="nil"/>
              <w:right w:val="nil"/>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_Ref132816141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864" w:type="dxa"/>
            <w:gridSpan w:val="3"/>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Открытие доступа ко вторым частям заявок</w:t>
              <w:br/>
              <w:t>и ценовым предложениям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_Ref132801184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4.10</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rHeight w:val="1552" w:hRule="atLeast"/>
        </w:trPr>
        <w:tc>
          <w:tcPr>
            <w:tcW w:w="372" w:type="dxa"/>
            <w:tcBorders>
              <w:left w:val="nil"/>
            </w:tcBorders>
            <w:vAlign w:val="bottom"/>
          </w:tcPr>
          <w:p>
            <w:pPr>
              <w:pStyle w:val="Style21"/>
              <w:widowControl/>
              <w:suppressAutoHyphens w:val="true"/>
              <w:spacing w:lineRule="auto" w:line="240" w:before="0" w:after="0"/>
              <w:jc w:val="center"/>
              <w:rPr>
                <w:bCs/>
                <w:sz w:val="24"/>
                <w:szCs w:val="24"/>
              </w:rPr>
            </w:pPr>
            <w:r>
              <w:rPr>
                <w:rFonts w:eastAsia="Wingdings 3" w:cs="Wingdings 3" w:ascii="Wingdings 3" w:hAnsi="Wingdings 3"/>
                <w:bCs/>
                <w:kern w:val="0"/>
                <w:sz w:val="24"/>
                <w:szCs w:val="24"/>
                <w:lang w:val="ru-RU" w:eastAsia="en-US" w:bidi="ar-SA"/>
              </w:rPr>
              <w:t>Ô</w:t>
            </w:r>
          </w:p>
        </w:tc>
        <w:tc>
          <w:tcPr>
            <w:tcW w:w="3208" w:type="dxa"/>
            <w:gridSpan w:val="2"/>
            <w:tcBorders>
              <w:right w:val="single" w:sz="4" w:space="0" w:color="000000"/>
            </w:tcBorders>
          </w:tcPr>
          <w:p>
            <w:pPr>
              <w:pStyle w:val="Style21"/>
              <w:widowControl/>
              <w:suppressAutoHyphens w:val="true"/>
              <w:spacing w:lineRule="exact" w:line="227" w:before="0" w:after="0"/>
              <w:jc w:val="center"/>
              <w:rPr>
                <w:rFonts w:ascii="Times New Roman" w:hAnsi="Times New Roman" w:eastAsia="Calibri" w:cs="Arial"/>
                <w:kern w:val="0"/>
                <w:lang w:val="ru-RU" w:eastAsia="en-US" w:bidi="ar-SA"/>
              </w:rPr>
            </w:pPr>
            <w:r>
              <w:rPr>
                <w:rFonts w:eastAsia="Calibri" w:cs="Arial"/>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 и ценовых предложений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_Ref132797154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4.11</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3656" w:type="dxa"/>
            <w:tcBorders>
              <w:left w:val="single" w:sz="4" w:space="0" w:color="000000"/>
            </w:tcBorders>
          </w:tcPr>
          <w:p>
            <w:pPr>
              <w:pStyle w:val="Style21"/>
              <w:widowControl/>
              <w:suppressAutoHyphens w:val="true"/>
              <w:spacing w:lineRule="exact" w:line="227" w:before="0" w:after="0"/>
              <w:jc w:val="center"/>
              <w:rPr>
                <w:rFonts w:ascii="Times New Roman" w:hAnsi="Times New Roman" w:eastAsia="Calibri" w:cs="Arial"/>
                <w:kern w:val="0"/>
                <w:lang w:val="ru-RU" w:eastAsia="en-US" w:bidi="ar-SA"/>
              </w:rPr>
            </w:pPr>
            <w:r>
              <w:rPr>
                <w:rFonts w:eastAsia="Calibri" w:cs="Arial"/>
                <w:bCs/>
                <w:kern w:val="0"/>
                <w:sz w:val="24"/>
                <w:szCs w:val="24"/>
                <w:lang w:val="ru-RU" w:eastAsia="en-US" w:bidi="ar-SA"/>
              </w:rPr>
              <w:t>Применение законодательства о национальном режиме</w:t>
              <w:br/>
              <w:t>(</w:t>
            </w:r>
            <w:r>
              <w:rPr>
                <w:rFonts w:eastAsia="Calibri" w:cs="Arial"/>
                <w:bCs/>
                <w:kern w:val="0"/>
                <w:sz w:val="24"/>
                <w:szCs w:val="24"/>
                <w:u w:val="single"/>
                <w:lang w:val="ru-RU" w:eastAsia="en-US" w:bidi="ar-SA"/>
              </w:rPr>
              <w:t>предоставление национального режима / запрета, ограничения</w:t>
            </w:r>
            <w:r>
              <w:rPr>
                <w:rFonts w:eastAsia="Calibri" w:cs="Arial"/>
                <w:bCs/>
                <w:kern w:val="0"/>
                <w:sz w:val="24"/>
                <w:szCs w:val="24"/>
                <w:lang w:val="ru-RU" w:eastAsia="en-US" w:bidi="ar-SA"/>
              </w:rPr>
              <w:t>)</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_Ref186219943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1"/>
              <w:widowControl/>
              <w:suppressAutoHyphens w:val="true"/>
              <w:spacing w:lineRule="auto" w:line="240" w:before="0" w:after="0"/>
              <w:jc w:val="center"/>
              <w:rPr>
                <w:bCs/>
                <w:sz w:val="24"/>
                <w:szCs w:val="24"/>
              </w:rPr>
            </w:pPr>
            <w:r>
              <w:rPr>
                <w:rFonts w:eastAsia="Wingdings 3" w:cs="Wingdings 3" w:ascii="Wingdings 3" w:hAnsi="Wingdings 3"/>
                <w:bCs/>
                <w:kern w:val="0"/>
                <w:sz w:val="24"/>
                <w:szCs w:val="24"/>
                <w:lang w:val="ru-RU" w:eastAsia="en-US" w:bidi="ar-SA"/>
              </w:rPr>
              <w:t>Ô</w:t>
            </w:r>
          </w:p>
        </w:tc>
        <w:tc>
          <w:tcPr>
            <w:tcW w:w="2042" w:type="dxa"/>
            <w:tcBorders/>
            <w:vAlign w:val="center"/>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Оценка и сопоставление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_Ref125362626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4822" w:type="dxa"/>
            <w:gridSpan w:val="2"/>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_Ref132816300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9557" w:type="dxa"/>
            <w:gridSpan w:val="4"/>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Подведение итогов закупки (определение Победителя)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_Ref125362658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0" w:after="0"/>
              <w:jc w:val="center"/>
              <w:rPr>
                <w:bCs/>
                <w:sz w:val="24"/>
                <w:szCs w:val="24"/>
              </w:rPr>
            </w:pPr>
            <w:r>
              <w:rPr>
                <w:rFonts w:eastAsia="Wingdings 3" w:cs="Wingdings 3" w:ascii="Wingdings 3" w:hAnsi="Wingdings 3"/>
                <w:bCs/>
                <w:kern w:val="0"/>
                <w:sz w:val="24"/>
                <w:szCs w:val="24"/>
                <w:u w:val="single"/>
                <w:lang w:val="ru-RU" w:eastAsia="en-US" w:bidi="ar-SA"/>
              </w:rPr>
              <w:t>Ô</w:t>
            </w:r>
          </w:p>
        </w:tc>
        <w:tc>
          <w:tcPr>
            <w:tcW w:w="6864" w:type="dxa"/>
            <w:gridSpan w:val="3"/>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Заключение Договора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_Ref138341423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p>
            <w:pPr>
              <w:pStyle w:val="Style21"/>
              <w:widowControl/>
              <w:suppressAutoHyphens w:val="true"/>
              <w:spacing w:lineRule="auto" w:line="240" w:before="0" w:after="0"/>
              <w:jc w:val="center"/>
              <w:rPr>
                <w:bCs/>
                <w:sz w:val="24"/>
                <w:szCs w:val="24"/>
              </w:rPr>
            </w:pPr>
            <w:r>
              <w:rPr>
                <w:bCs/>
                <w:sz w:val="24"/>
                <w:szCs w:val="24"/>
              </w:rPr>
            </w:r>
          </w:p>
        </w:tc>
        <w:tc>
          <w:tcPr>
            <w:tcW w:w="7370" w:type="dxa"/>
            <w:gridSpan w:val="3"/>
            <w:tcBorders>
              <w:right w:val="nil"/>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Уклонение Победителя от заключения Договора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_Ref125367068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115" w:name="_Ref130281199"/>
      <w:bookmarkStart w:id="116" w:name="_Ref130394681"/>
      <w:bookmarkStart w:id="117" w:name="_Toc228877685"/>
      <w:r>
        <w:rPr/>
        <w:t>Подготовка заявки</w:t>
      </w:r>
      <w:bookmarkEnd w:id="115"/>
      <w:bookmarkEnd w:id="116"/>
      <w:bookmarkEnd w:id="117"/>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25" w:name="_Toc228877686"/>
      <w:bookmarkStart w:id="126" w:name="_Ref125362071"/>
      <w:bookmarkStart w:id="127" w:name="_Ref130394785"/>
      <w:bookmarkStart w:id="128" w:name="_Ref125361260"/>
      <w:bookmarkStart w:id="129" w:name="_Ref130394802"/>
      <w:bookmarkStart w:id="130" w:name="_Ref125366672"/>
      <w:bookmarkStart w:id="131" w:name="_Ref130394205"/>
      <w:r>
        <w:rPr/>
        <w:t>Разъяснение Документации о закупке</w:t>
      </w:r>
      <w:bookmarkEnd w:id="125"/>
      <w:bookmarkEnd w:id="126"/>
      <w:bookmarkEnd w:id="127"/>
      <w:bookmarkEnd w:id="128"/>
      <w:bookmarkEnd w:id="129"/>
      <w:bookmarkEnd w:id="130"/>
      <w:bookmarkEnd w:id="131"/>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w:t>
      </w:r>
    </w:p>
    <w:p>
      <w:pPr>
        <w:pStyle w:val="Style18"/>
        <w:spacing w:before="0" w:after="0"/>
        <w:rPr/>
      </w:pPr>
      <w:r>
        <w:rPr/>
        <w:t>рассмотрения вторых частей заявок и ценовых предложений;</w:t>
      </w:r>
    </w:p>
    <w:p>
      <w:pPr>
        <w:pStyle w:val="Style18"/>
        <w:spacing w:before="0" w:after="0"/>
        <w:rPr/>
      </w:pPr>
      <w:r>
        <w:rPr/>
        <w:t>подведения итогов закупки;</w:t>
      </w:r>
    </w:p>
    <w:p>
      <w:pPr>
        <w:pStyle w:val="Style21"/>
        <w:ind w:left="1134"/>
        <w:rPr/>
      </w:pPr>
      <w:bookmarkStart w:id="136" w:name="_Ref125550844"/>
      <w:r>
        <w:rPr/>
        <w:t>в пределах срока действия заявок и с уведомлением Участников, подавших заявки.</w:t>
      </w:r>
      <w:bookmarkEnd w:id="136"/>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17"/>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37" w:name="_Ref125362119"/>
      <w:bookmarkStart w:id="138" w:name="_Toc228877688"/>
      <w:r>
        <w:rPr/>
        <w:t>Подача заявок и их прием</w:t>
      </w:r>
      <w:bookmarkEnd w:id="137"/>
      <w:bookmarkEnd w:id="138"/>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40" w:name="_Toc228877689"/>
      <w:bookmarkStart w:id="141" w:name="_Ref125365136"/>
      <w:bookmarkStart w:id="142" w:name="_Ref125363819"/>
      <w:bookmarkStart w:id="143" w:name="_Ref125362192"/>
      <w:bookmarkStart w:id="144" w:name="_Ref125362130"/>
      <w:r>
        <w:rPr/>
        <w:t>Изменение и отзыв заявок</w:t>
      </w:r>
      <w:bookmarkEnd w:id="140"/>
      <w:bookmarkEnd w:id="141"/>
      <w:bookmarkEnd w:id="142"/>
      <w:bookmarkEnd w:id="143"/>
      <w:bookmarkEnd w:id="144"/>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45" w:name="_Ref132816188"/>
      <w:bookmarkStart w:id="146" w:name="_Toc228877690"/>
      <w:r>
        <w:rPr/>
        <w:t>Открытие доступа к первым частям заявок</w:t>
      </w:r>
      <w:bookmarkEnd w:id="145"/>
      <w:bookmarkEnd w:id="146"/>
    </w:p>
    <w:p>
      <w:pPr>
        <w:pStyle w:val="Style17"/>
        <w:spacing w:before="120" w:after="0"/>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47"/>
    </w:p>
    <w:p>
      <w:pPr>
        <w:pStyle w:val="Style17"/>
        <w:spacing w:before="0" w:after="0"/>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16"/>
        <w:spacing w:before="360" w:after="0"/>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17"/>
        <w:spacing w:before="120" w:after="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spacing w:before="0" w:after="0"/>
        <w:rPr/>
      </w:pPr>
      <w:r>
        <w:rPr/>
        <w:t>Рассмотрение первых частей заявок проводится на основании представленных в составе заявки документов и сведений.</w:t>
      </w:r>
    </w:p>
    <w:p>
      <w:pPr>
        <w:pStyle w:val="Style17"/>
        <w:keepNext w:val="true"/>
        <w:spacing w:before="0" w:after="0"/>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18"/>
        <w:spacing w:before="120" w:after="0"/>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59" w:name="_Ref125362425"/>
      <w:bookmarkStart w:id="160" w:name="_Ref125362381"/>
      <w:bookmarkStart w:id="161" w:name="_Ref125362464"/>
      <w:bookmarkStart w:id="162" w:name="_Toc228877694"/>
      <w:bookmarkStart w:id="163" w:name="_Ref125362610"/>
      <w:r>
        <w:rPr/>
        <w:t>Дополнительные запросы разъяснений заявок</w:t>
      </w:r>
      <w:bookmarkEnd w:id="159"/>
      <w:bookmarkEnd w:id="160"/>
      <w:bookmarkEnd w:id="161"/>
      <w:bookmarkEnd w:id="162"/>
      <w:bookmarkEnd w:id="163"/>
    </w:p>
    <w:p>
      <w:pPr>
        <w:pStyle w:val="Style17"/>
        <w:spacing w:before="120" w:after="0"/>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67" w:name="_Ref125369041"/>
      <w:bookmarkStart w:id="168" w:name="_Ref125369308"/>
      <w:bookmarkStart w:id="169" w:name="_Ref125362626"/>
      <w:bookmarkStart w:id="170" w:name="_Ref125365335"/>
      <w:bookmarkStart w:id="171" w:name="_Ref125365519"/>
      <w:bookmarkStart w:id="172" w:name="_Ref125366534"/>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74" w:name="_Ref130458671"/>
      <w:bookmarkStart w:id="175" w:name="_Ref125366064"/>
      <w:bookmarkStart w:id="176" w:name="_Ref132816300"/>
      <w:bookmarkStart w:id="177" w:name="_Ref186219943"/>
      <w:bookmarkStart w:id="178" w:name="_Ref125369991"/>
      <w:bookmarkStart w:id="179" w:name="_Ref125370507"/>
      <w:bookmarkStart w:id="180" w:name="_Toc228877696"/>
      <w:bookmarkStart w:id="181" w:name="_Ref13098595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bookmarkStart w:id="182"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82"/>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83"/>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6"/>
        <w:spacing w:before="360" w:after="0"/>
        <w:rPr/>
      </w:pPr>
      <w:bookmarkStart w:id="184" w:name="_Ref125362658"/>
      <w:bookmarkStart w:id="185" w:name="_Ref125366091"/>
      <w:bookmarkStart w:id="186" w:name="_Ref125367242"/>
      <w:bookmarkStart w:id="187" w:name="_Toc228877698"/>
      <w:r>
        <w:rPr/>
        <w:t>Подведение итогов закупки (определение Победителя)</w:t>
      </w:r>
      <w:bookmarkEnd w:id="184"/>
      <w:bookmarkEnd w:id="185"/>
      <w:bookmarkEnd w:id="186"/>
      <w:bookmarkEnd w:id="187"/>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6"/>
        <w:spacing w:before="360" w:after="0"/>
        <w:rPr/>
      </w:pPr>
      <w:bookmarkStart w:id="189" w:name="_Ref125366796"/>
      <w:bookmarkStart w:id="190" w:name="_Toc228877699"/>
      <w:bookmarkStart w:id="191" w:name="_Ref125364149"/>
      <w:bookmarkStart w:id="192" w:name="_Ref125366631"/>
      <w:bookmarkStart w:id="193" w:name="_Ref125365570"/>
      <w:bookmarkStart w:id="194" w:name="_Ref125365305"/>
      <w:bookmarkStart w:id="195" w:name="_Ref125364187"/>
      <w:r>
        <w:rPr/>
        <w:t>Признание закупки несостоявшейся</w:t>
      </w:r>
      <w:bookmarkEnd w:id="189"/>
      <w:bookmarkEnd w:id="190"/>
      <w:bookmarkEnd w:id="191"/>
      <w:bookmarkEnd w:id="192"/>
      <w:bookmarkEnd w:id="193"/>
      <w:bookmarkEnd w:id="194"/>
      <w:bookmarkEnd w:id="195"/>
    </w:p>
    <w:p>
      <w:pPr>
        <w:pStyle w:val="Style17"/>
        <w:keepNext w:val="true"/>
        <w:spacing w:before="120" w:after="0"/>
        <w:rPr/>
      </w:pPr>
      <w:bookmarkStart w:id="196" w:name="_Ref214290552"/>
      <w:r>
        <w:rPr/>
        <w:t>Закупка признается несостоявшейся в следующих случаях:</w:t>
      </w:r>
      <w:bookmarkEnd w:id="196"/>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spacing w:before="0" w:after="0"/>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18"/>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spacing w:before="0" w:after="0"/>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200" w:name="_Toc228877700"/>
      <w:bookmarkStart w:id="201" w:name="_Ref132816134"/>
      <w:bookmarkStart w:id="202" w:name="_Ref126141962"/>
      <w:bookmarkStart w:id="203" w:name="_Ref132816141"/>
      <w:bookmarkStart w:id="204" w:name="_Toc224743821"/>
      <w:bookmarkStart w:id="205" w:name="_Toc224743823"/>
      <w:bookmarkStart w:id="206" w:name="_Toc224743822"/>
      <w:bookmarkStart w:id="207" w:name="_Toc224743824"/>
      <w:bookmarkEnd w:id="204"/>
      <w:bookmarkEnd w:id="205"/>
      <w:bookmarkEnd w:id="206"/>
      <w:bookmarkEnd w:id="207"/>
      <w:r>
        <w:rPr/>
        <w:t>Отказ от проведения закупки</w:t>
      </w:r>
      <w:bookmarkEnd w:id="202"/>
      <w:r>
        <w:rPr/>
        <w:t xml:space="preserve"> (отмена закупки)</w:t>
      </w:r>
      <w:bookmarkEnd w:id="200"/>
      <w:bookmarkEnd w:id="201"/>
      <w:bookmarkEnd w:id="203"/>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208" w:name="_Toc228877701"/>
      <w:bookmarkStart w:id="209" w:name="_Ref130455226"/>
      <w:r>
        <w:rPr/>
        <w:t>Особенности проведения закупки с необходимостью обеспечения заявки</w:t>
      </w:r>
      <w:bookmarkEnd w:id="208"/>
      <w:bookmarkEnd w:id="20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212" w:name="_Ref149317181"/>
      <w:bookmarkStart w:id="213" w:name="_Toc228877702"/>
      <w:bookmarkStart w:id="214" w:name="_Ref130225422"/>
      <w:r>
        <w:rPr/>
        <w:t>Особенности проведения многолотовой закупки</w:t>
      </w:r>
      <w:bookmarkEnd w:id="212"/>
      <w:bookmarkEnd w:id="213"/>
      <w:bookmarkEnd w:id="21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7"/>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215" w:name="_Ref130224037"/>
      <w:bookmarkStart w:id="216" w:name="_Toc228877704"/>
      <w:bookmarkStart w:id="217" w:name="_Ref126142429"/>
      <w:bookmarkStart w:id="218" w:name="_Ref125361212"/>
      <w:bookmarkStart w:id="219" w:name="_Ref125363439"/>
      <w:bookmarkStart w:id="220" w:name="_Ref125362671"/>
      <w:bookmarkStart w:id="221" w:name="_Ref125366769"/>
      <w:bookmarkStart w:id="222" w:name="_Ref125367087"/>
      <w:bookmarkStart w:id="223" w:name="_Ref125367083"/>
      <w:r>
        <w:rPr/>
        <w:t>Порядок заключения Договора</w:t>
      </w:r>
      <w:bookmarkEnd w:id="215"/>
      <w:bookmarkEnd w:id="216"/>
      <w:bookmarkEnd w:id="217"/>
      <w:bookmarkEnd w:id="218"/>
      <w:bookmarkEnd w:id="219"/>
      <w:bookmarkEnd w:id="220"/>
      <w:bookmarkEnd w:id="221"/>
      <w:bookmarkEnd w:id="222"/>
      <w:bookmarkEnd w:id="223"/>
    </w:p>
    <w:p>
      <w:pPr>
        <w:pStyle w:val="Style16"/>
        <w:spacing w:before="360" w:after="0"/>
        <w:rPr/>
      </w:pPr>
      <w:bookmarkStart w:id="224" w:name="_Toc228877705"/>
      <w:r>
        <w:rPr/>
        <w:t>Общие положения</w:t>
      </w:r>
      <w:bookmarkEnd w:id="224"/>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25" w:name="_Ref138341423"/>
      <w:bookmarkStart w:id="226" w:name="_Toc228877706"/>
      <w:bookmarkStart w:id="227" w:name="_Ref125366947"/>
      <w:bookmarkStart w:id="228" w:name="_Ref125368755"/>
      <w:r>
        <w:rPr/>
        <w:t>Заключение Договора</w:t>
      </w:r>
      <w:bookmarkEnd w:id="225"/>
      <w:bookmarkEnd w:id="226"/>
      <w:bookmarkEnd w:id="227"/>
      <w:bookmarkEnd w:id="228"/>
    </w:p>
    <w:p>
      <w:pPr>
        <w:pStyle w:val="Style17"/>
        <w:spacing w:before="120" w:after="0"/>
        <w:rPr/>
      </w:pPr>
      <w:bookmarkStart w:id="229" w:name="_Ref125362935"/>
      <w:bookmarkStart w:id="23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17"/>
        <w:spacing w:before="0" w:after="0"/>
        <w:rPr/>
      </w:pPr>
      <w:r>
        <w:rPr/>
        <w:t>Договор не может быть заключен, если это запрещено законодательством о национальном режиме.</w:t>
      </w:r>
    </w:p>
    <w:p>
      <w:pPr>
        <w:pStyle w:val="Style17"/>
        <w:spacing w:before="0" w:after="0"/>
        <w:rPr/>
      </w:pPr>
      <w:bookmarkStart w:id="231" w:name="_Ref125363464"/>
      <w:bookmarkEnd w:id="231"/>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18"/>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6"/>
          </w:rPr>
          <w:t>Приложения № 4</w:t>
        </w:r>
      </w:hyperlink>
      <w:r>
        <w:rPr/>
        <w:t>)) адрес электронной почты ответственного лица).</w:t>
      </w:r>
    </w:p>
    <w:p>
      <w:pPr>
        <w:pStyle w:val="Style18"/>
        <w:numPr>
          <w:ilvl w:val="0"/>
          <w:numId w:val="0"/>
        </w:numPr>
        <w:spacing w:before="0" w:after="0"/>
        <w:ind w:hanging="0" w:left="1701"/>
        <w:rPr/>
      </w:pPr>
      <w:r>
        <w:rPr/>
      </w:r>
      <w:bookmarkStart w:id="232" w:name="_Ref125363464_Копия_1"/>
      <w:bookmarkStart w:id="233" w:name="_Ref125363464_Копия_1"/>
      <w:bookmarkEnd w:id="233"/>
    </w:p>
    <w:p>
      <w:pPr>
        <w:pStyle w:val="Style17"/>
        <w:spacing w:before="120" w:after="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34"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34"/>
    </w:p>
    <w:p>
      <w:pPr>
        <w:pStyle w:val="Style18"/>
        <w:keepNext w:val="true"/>
        <w:spacing w:before="120" w:after="0"/>
        <w:rPr/>
      </w:pPr>
      <w:r>
        <w:rPr/>
        <w:t>для юридического лица:</w:t>
      </w:r>
    </w:p>
    <w:p>
      <w:pPr>
        <w:pStyle w:val="Style19"/>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19"/>
        <w:spacing w:before="0" w:after="0"/>
        <w:rPr/>
      </w:pPr>
      <w:bookmarkStart w:id="235"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5"/>
    </w:p>
    <w:p>
      <w:pPr>
        <w:pStyle w:val="Style19"/>
        <w:spacing w:before="0" w:after="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36"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6"/>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37"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7"/>
    </w:p>
    <w:p>
      <w:pPr>
        <w:pStyle w:val="Style17"/>
        <w:spacing w:before="0" w:after="0"/>
        <w:rPr/>
      </w:pPr>
      <w:bookmarkStart w:id="238"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9"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9"/>
      <w:r>
        <w:rPr/>
        <w:t>.</w:t>
      </w:r>
      <w:bookmarkEnd w:id="238"/>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40" w:name="_Ref125367068"/>
      <w:bookmarkStart w:id="241" w:name="_Toc228877707"/>
      <w:r>
        <w:rPr/>
        <w:t>Уклонение Победителя от заключения Договора</w:t>
      </w:r>
      <w:bookmarkEnd w:id="240"/>
      <w:bookmarkEnd w:id="241"/>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42" w:name="_Ref125370843"/>
      <w:bookmarkStart w:id="243" w:name="_Ref125363034"/>
      <w:bookmarkStart w:id="244" w:name="_Ref125363023"/>
      <w:bookmarkStart w:id="245" w:name="_Ref125370750"/>
      <w:bookmarkStart w:id="246" w:name="_Ref125363016"/>
      <w:bookmarkStart w:id="247" w:name="_Ref125364201"/>
      <w:bookmarkStart w:id="248" w:name="_Ref125363752"/>
      <w:bookmarkStart w:id="249" w:name="_Ref125370746"/>
      <w:bookmarkStart w:id="250" w:name="_Ref125370732"/>
      <w:bookmarkStart w:id="251" w:name="_Ref125370741"/>
      <w:bookmarkStart w:id="252" w:name="_Ref125363600"/>
      <w:bookmarkStart w:id="253" w:name="_Toc228877708"/>
      <w:bookmarkStart w:id="254" w:name="_Ref125364088"/>
      <w:bookmarkStart w:id="255" w:name="Прил01_ТехТребования"/>
      <w:r>
        <w:rPr/>
        <w:t>Приложение № 1 – Технические требования</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Style16"/>
        <w:spacing w:before="360" w:after="0"/>
        <w:rPr/>
      </w:pPr>
      <w:bookmarkStart w:id="256" w:name="_Toc228877709"/>
      <w:r>
        <w:rPr/>
        <w:t>Пояснения к Техническим требованиям</w:t>
      </w:r>
      <w:bookmarkEnd w:id="256"/>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57" w:name="_Toc228877710"/>
      <w:bookmarkStart w:id="258" w:name="Прил02_ПроектДоговора"/>
      <w:bookmarkStart w:id="259" w:name="_Ref125364081"/>
      <w:bookmarkStart w:id="260" w:name="_Ref125363759"/>
      <w:bookmarkStart w:id="261" w:name="_Ref125363040"/>
      <w:bookmarkStart w:id="262" w:name="_Ref125364206"/>
      <w:bookmarkStart w:id="263" w:name="_Ref125363605"/>
      <w:bookmarkStart w:id="264" w:name="_Ref125361746"/>
      <w:bookmarkStart w:id="265" w:name="_Ref125370754"/>
      <w:r>
        <w:rPr/>
        <w:t>Приложение № 2 – Проект договора</w:t>
      </w:r>
      <w:bookmarkEnd w:id="257"/>
      <w:bookmarkEnd w:id="258"/>
      <w:bookmarkEnd w:id="259"/>
      <w:bookmarkEnd w:id="260"/>
      <w:bookmarkEnd w:id="261"/>
      <w:bookmarkEnd w:id="262"/>
      <w:bookmarkEnd w:id="263"/>
      <w:bookmarkEnd w:id="264"/>
      <w:bookmarkEnd w:id="265"/>
    </w:p>
    <w:p>
      <w:pPr>
        <w:pStyle w:val="Style16"/>
        <w:spacing w:before="360" w:after="0"/>
        <w:rPr/>
      </w:pPr>
      <w:bookmarkStart w:id="266" w:name="_Toc228877711"/>
      <w:r>
        <w:rPr/>
        <w:t>Пояснения к Проекту договора</w:t>
      </w:r>
      <w:bookmarkEnd w:id="266"/>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7" w:name="_MON_1736255517"/>
      <w:bookmarkEnd w:id="267"/>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drawing>
          <wp:inline distT="0" distB="0" distL="0" distR="0">
            <wp:extent cx="991235" cy="645160"/>
            <wp:effectExtent l="0" t="0" r="0" b="0"/>
            <wp:docPr id="1" name="_x005F_x0000_i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5F_x0000_i0" descr=""/>
                    <pic:cNvPicPr>
                      <a:picLocks noChangeAspect="1" noChangeArrowheads="1"/>
                    </pic:cNvPicPr>
                  </pic:nvPicPr>
                  <pic:blipFill>
                    <a:blip r:embed="rId12"/>
                    <a:stretch>
                      <a:fillRect/>
                    </a:stretch>
                  </pic:blipFill>
                  <pic:spPr bwMode="auto">
                    <a:xfrm>
                      <a:off x="0" y="0"/>
                      <a:ext cx="991235" cy="645160"/>
                    </a:xfrm>
                    <a:prstGeom prst="rect">
                      <a:avLst/>
                    </a:prstGeom>
                  </pic:spPr>
                </pic:pic>
              </a:graphicData>
            </a:graphic>
          </wp:inline>
        </w:drawing>
      </w:r>
    </w:p>
    <w:p>
      <w:pPr>
        <w:pStyle w:val="Style15"/>
        <w:spacing w:before="0" w:after="0"/>
        <w:rPr/>
      </w:pPr>
      <w:bookmarkStart w:id="268" w:name="_Ref125361494"/>
      <w:bookmarkStart w:id="269" w:name="_Ref125361908"/>
      <w:bookmarkStart w:id="270" w:name="_Ref125365476"/>
      <w:bookmarkStart w:id="271" w:name="_Ref125370013"/>
      <w:bookmarkStart w:id="272" w:name="Прил03_ТребованияУчастникам"/>
      <w:bookmarkStart w:id="273" w:name="_Toc228877712"/>
      <w:r>
        <w:rPr/>
        <w:t>Приложение № 3 – Требования к Участникам</w:t>
      </w:r>
      <w:bookmarkEnd w:id="268"/>
      <w:bookmarkEnd w:id="269"/>
      <w:bookmarkEnd w:id="270"/>
      <w:bookmarkEnd w:id="271"/>
      <w:bookmarkEnd w:id="272"/>
      <w:bookmarkEnd w:id="273"/>
    </w:p>
    <w:p>
      <w:pPr>
        <w:pStyle w:val="Style16"/>
        <w:spacing w:before="360" w:after="0"/>
        <w:rPr/>
      </w:pPr>
      <w:bookmarkStart w:id="274" w:name="_Toc228877713"/>
      <w:r>
        <w:rPr/>
        <w:t>Пояснения к требованиям к Участникам</w:t>
      </w:r>
      <w:bookmarkEnd w:id="274"/>
    </w:p>
    <w:p>
      <w:pPr>
        <w:pStyle w:val="Style17"/>
        <w:spacing w:before="120" w:after="0"/>
        <w:rPr/>
      </w:pPr>
      <w:bookmarkStart w:id="275"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5"/>
    </w:p>
    <w:p>
      <w:pPr>
        <w:pStyle w:val="Style16"/>
        <w:spacing w:before="360" w:after="120"/>
        <w:rPr/>
      </w:pPr>
      <w:bookmarkStart w:id="276" w:name="_Ref125361846"/>
      <w:bookmarkStart w:id="277" w:name="_Ref125368895"/>
      <w:bookmarkStart w:id="278" w:name="_Ref125366879"/>
      <w:bookmarkStart w:id="279" w:name="_Ref125361435"/>
      <w:bookmarkStart w:id="280" w:name="_Ref125361617"/>
      <w:bookmarkStart w:id="281" w:name="_Ref125361590"/>
      <w:bookmarkStart w:id="282" w:name="_Ref125361832"/>
      <w:bookmarkStart w:id="283" w:name="_Ref125370058"/>
      <w:bookmarkStart w:id="284" w:name="_Ref125370064"/>
      <w:bookmarkStart w:id="285" w:name="_Ref125370071"/>
      <w:bookmarkStart w:id="286" w:name="_Toc228877714"/>
      <w:bookmarkStart w:id="287" w:name="_Ref125368812"/>
      <w:bookmarkStart w:id="288" w:name="_Ref125361926"/>
      <w:bookmarkStart w:id="289" w:name="_Ref125369088"/>
      <w:r>
        <w:rPr/>
        <w:t>Обязательные требования</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0" w:name="_Ref125552433"/>
            <w:bookmarkStart w:id="291" w:name="_Ref125552433"/>
            <w:bookmarkEnd w:id="291"/>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1"/>
              <w:widowControl/>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numPr>
                <w:ilvl w:val="0"/>
                <w:numId w:val="14"/>
              </w:numPr>
              <w:suppressAutoHyphens w:val="true"/>
              <w:spacing w:lineRule="auto" w:line="240" w:before="60" w:after="60"/>
              <w:ind w:hanging="284" w:left="568"/>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numPr>
                <w:ilvl w:val="0"/>
                <w:numId w:val="14"/>
              </w:numPr>
              <w:suppressAutoHyphens w:val="true"/>
              <w:spacing w:lineRule="auto" w:line="240" w:before="60" w:after="0"/>
              <w:ind w:hanging="284" w:left="568"/>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numPr>
                <w:ilvl w:val="0"/>
                <w:numId w:val="14"/>
              </w:numPr>
              <w:suppressAutoHyphens w:val="true"/>
              <w:spacing w:lineRule="auto" w:line="240" w:before="0" w:after="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numPr>
                <w:ilvl w:val="0"/>
                <w:numId w:val="14"/>
              </w:numPr>
              <w:suppressAutoHyphens w:val="true"/>
              <w:spacing w:lineRule="auto" w:line="240" w:before="0" w:after="6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suppressAutoHyphens w:val="true"/>
              <w:spacing w:lineRule="auto" w:line="240" w:before="60" w:after="60"/>
              <w:ind w:left="284"/>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2" w:name="_Ref132893662"/>
            <w:bookmarkStart w:id="293" w:name="_Ref132893662"/>
            <w:bookmarkEnd w:id="293"/>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4" w:name="_Ref139029906"/>
            <w:bookmarkStart w:id="295" w:name="_Ref139029906"/>
            <w:bookmarkEnd w:id="295"/>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6" w:name="_Ref186220330"/>
            <w:bookmarkStart w:id="297" w:name="_Ref186220330"/>
            <w:bookmarkEnd w:id="297"/>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8" w:name="_Ref186220335"/>
            <w:bookmarkStart w:id="299" w:name="_Ref186220335"/>
            <w:bookmarkEnd w:id="299"/>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p>
            <w:pPr>
              <w:pStyle w:val="Style21"/>
              <w:widowControl/>
              <w:suppressAutoHyphens w:val="true"/>
              <w:spacing w:lineRule="auto" w:line="240" w:before="60" w:after="60"/>
              <w:rPr>
                <w:i/>
                <w:i/>
                <w:iCs/>
              </w:rPr>
            </w:pPr>
            <w:r>
              <w:rPr>
                <w:i/>
                <w:iCs/>
              </w:rPr>
            </w:r>
          </w:p>
          <w:p>
            <w:pPr>
              <w:pStyle w:val="Style21"/>
              <w:widowControl/>
              <w:suppressAutoHyphens w:val="true"/>
              <w:spacing w:lineRule="auto" w:line="240" w:before="60" w:after="60"/>
              <w:rPr>
                <w:i/>
                <w:i/>
                <w:iCs/>
              </w:rPr>
            </w:pPr>
            <w:r>
              <w:rPr>
                <w:i/>
                <w:iCs/>
              </w:rPr>
            </w:r>
          </w:p>
          <w:p>
            <w:pPr>
              <w:pStyle w:val="Style21"/>
              <w:widowControl/>
              <w:suppressAutoHyphens w:val="true"/>
              <w:spacing w:lineRule="auto" w:line="240" w:before="60" w:after="60"/>
              <w:rPr>
                <w:i/>
                <w:i/>
                <w:iCs/>
              </w:rPr>
            </w:pPr>
            <w:r>
              <w:rPr>
                <w:i/>
                <w:iCs/>
              </w:rPr>
            </w:r>
          </w:p>
          <w:p>
            <w:pPr>
              <w:pStyle w:val="Style21"/>
              <w:widowControl/>
              <w:suppressAutoHyphens w:val="true"/>
              <w:spacing w:lineRule="auto" w:line="240" w:before="60" w:after="60"/>
              <w:rPr>
                <w:i/>
                <w:i/>
                <w:iCs/>
              </w:rPr>
            </w:pPr>
            <w:r>
              <w:rPr>
                <w:i/>
                <w:iCs/>
              </w:rPr>
            </w:r>
          </w:p>
        </w:tc>
      </w:tr>
    </w:tbl>
    <w:p>
      <w:pPr>
        <w:pStyle w:val="Style16"/>
        <w:spacing w:before="360" w:after="120"/>
        <w:rPr/>
      </w:pPr>
      <w:bookmarkStart w:id="300" w:name="_Toc228877715"/>
      <w:bookmarkStart w:id="301" w:name="_Ref125709250"/>
      <w:bookmarkStart w:id="302" w:name="_Ref125361633"/>
      <w:bookmarkStart w:id="303" w:name="_Ref125361671"/>
      <w:bookmarkStart w:id="304" w:name="_Ref125370079"/>
      <w:bookmarkStart w:id="305" w:name="_Ref125368901"/>
      <w:bookmarkStart w:id="306" w:name="_Ref125709888"/>
      <w:bookmarkStart w:id="307" w:name="_Ref125368818"/>
      <w:bookmarkStart w:id="308" w:name="_Ref125368916"/>
      <w:bookmarkStart w:id="309" w:name="_Ref125369099"/>
      <w:bookmarkStart w:id="310" w:name="_Ref125361442"/>
      <w:bookmarkStart w:id="311" w:name="_Ref125361937"/>
      <w:bookmarkStart w:id="312" w:name="_Ref125367521"/>
      <w:bookmarkStart w:id="313" w:name="_Ref125709401"/>
      <w:bookmarkStart w:id="314" w:name="_Ref125709153"/>
      <w:bookmarkStart w:id="315" w:name="_Ref125361869"/>
      <w:bookmarkStart w:id="316" w:name="_Ref125365459"/>
      <w:bookmarkStart w:id="317" w:name="_Ref125367539"/>
      <w:r>
        <w:rPr/>
        <w:t>Специальные требования</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6008"/>
        <w:gridCol w:w="7990"/>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600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7990"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numPr>
                <w:ilvl w:val="0"/>
                <w:numId w:val="3"/>
              </w:numPr>
              <w:suppressAutoHyphens w:val="true"/>
              <w:spacing w:lineRule="auto" w:line="240" w:before="60" w:after="60"/>
              <w:ind w:hanging="0" w:left="284"/>
              <w:jc w:val="center"/>
              <w:rPr>
                <w:rFonts w:ascii="Times New Roman" w:hAnsi="Times New Roman" w:eastAsia="Calibri" w:cs="Arial"/>
                <w:kern w:val="0"/>
                <w:sz w:val="26"/>
                <w:szCs w:val="26"/>
                <w:highlight w:val="none"/>
                <w:shd w:fill="auto" w:val="clear"/>
                <w:lang w:val="ru-RU" w:eastAsia="en-US" w:bidi="ar-SA"/>
              </w:rPr>
            </w:pPr>
            <w:r>
              <w:rPr>
                <w:rFonts w:eastAsia="Calibri" w:cs="Arial"/>
                <w:kern w:val="0"/>
                <w:sz w:val="26"/>
                <w:szCs w:val="26"/>
                <w:shd w:fill="auto" w:val="clear"/>
                <w:lang w:val="ru-RU" w:eastAsia="en-US" w:bidi="ar-SA"/>
              </w:rPr>
            </w:r>
          </w:p>
        </w:tc>
        <w:tc>
          <w:tcPr>
            <w:tcW w:w="6008" w:type="dxa"/>
            <w:tcBorders/>
          </w:tcPr>
          <w:p>
            <w:pPr>
              <w:pStyle w:val="ConsPlusNormal"/>
              <w:suppressAutoHyphens w:val="true"/>
              <w:jc w:val="both"/>
              <w:rPr>
                <w:sz w:val="26"/>
                <w:szCs w:val="26"/>
                <w:highlight w:val="none"/>
                <w:shd w:fill="auto" w:val="clear"/>
              </w:rPr>
            </w:pPr>
            <w:r>
              <w:rPr>
                <w:kern w:val="0"/>
                <w:sz w:val="26"/>
                <w:szCs w:val="26"/>
                <w:shd w:fill="auto" w:val="clear"/>
                <w:lang w:val="ru-RU" w:eastAsia="zh-CN" w:bidi="ar-SA"/>
                <w14:ligatures w14:val="none"/>
              </w:rPr>
              <w:t>Специальные требования не установлены.</w:t>
            </w:r>
          </w:p>
        </w:tc>
        <w:tc>
          <w:tcPr>
            <w:tcW w:w="7990" w:type="dxa"/>
            <w:tcBorders/>
          </w:tcPr>
          <w:p>
            <w:pPr>
              <w:pStyle w:val="ConsPlusNormal"/>
              <w:suppressAutoHyphens w:val="true"/>
              <w:jc w:val="both"/>
              <w:rPr>
                <w:sz w:val="26"/>
                <w:szCs w:val="26"/>
                <w:highlight w:val="none"/>
                <w:shd w:fill="auto" w:val="clear"/>
              </w:rPr>
            </w:pPr>
            <w:r>
              <w:rPr>
                <w:kern w:val="0"/>
                <w:sz w:val="26"/>
                <w:szCs w:val="26"/>
                <w:shd w:fill="auto" w:val="clear"/>
                <w:lang w:val="ru-RU" w:eastAsia="zh-CN" w:bidi="ar-SA"/>
                <w14:ligatures w14:val="none"/>
              </w:rPr>
              <w:t>Специальные требования не установлены.</w:t>
            </w:r>
          </w:p>
        </w:tc>
      </w:tr>
    </w:tbl>
    <w:p>
      <w:pPr>
        <w:pStyle w:val="Style16"/>
        <w:spacing w:before="360" w:after="120"/>
        <w:rPr/>
      </w:pPr>
      <w:bookmarkStart w:id="318" w:name="_Ref125361823"/>
      <w:bookmarkStart w:id="319" w:name="_Ref125362031"/>
      <w:bookmarkStart w:id="320" w:name="_Ref125369117"/>
      <w:bookmarkStart w:id="321" w:name="_Ref125370180"/>
      <w:bookmarkStart w:id="322" w:name="_Ref125370209"/>
      <w:bookmarkStart w:id="323" w:name="_Ref125709777"/>
      <w:bookmarkStart w:id="324" w:name="_Ref125709973"/>
      <w:bookmarkStart w:id="325" w:name="_Toc228877716"/>
      <w:bookmarkStart w:id="326" w:name="_Ref125370173"/>
      <w:bookmarkStart w:id="327" w:name="_Toc224743841"/>
      <w:bookmarkStart w:id="328" w:name="_Toc224743846"/>
      <w:bookmarkStart w:id="329" w:name="_Toc224743850"/>
      <w:bookmarkEnd w:id="327"/>
      <w:bookmarkEnd w:id="328"/>
      <w:bookmarkEnd w:id="329"/>
      <w:r>
        <w:rPr/>
        <w:t>Дополнительные требования к Генеральным подрядчикам</w:t>
      </w:r>
      <w:bookmarkEnd w:id="318"/>
      <w:bookmarkEnd w:id="319"/>
      <w:bookmarkEnd w:id="320"/>
      <w:bookmarkEnd w:id="321"/>
      <w:bookmarkEnd w:id="322"/>
      <w:bookmarkEnd w:id="323"/>
      <w:bookmarkEnd w:id="324"/>
      <w:bookmarkEnd w:id="325"/>
      <w:bookmarkEnd w:id="326"/>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0" w:name="_Ref125370187"/>
            <w:bookmarkStart w:id="331" w:name="_Ref125370187"/>
            <w:bookmarkEnd w:id="331"/>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2" w:name="_Ref125370193"/>
            <w:bookmarkStart w:id="333" w:name="_Ref125370193"/>
            <w:bookmarkEnd w:id="333"/>
          </w:p>
        </w:tc>
        <w:tc>
          <w:tcPr>
            <w:tcW w:w="5671"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4" w:name="_Ref125553847"/>
            <w:bookmarkStart w:id="335" w:name="_Ref125553847"/>
            <w:bookmarkEnd w:id="335"/>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36" w:name="Прил04_ФормыЗаявки"/>
      <w:bookmarkStart w:id="337" w:name="_Toc228877717"/>
      <w:bookmarkEnd w:id="336"/>
      <w:r>
        <w:rPr/>
        <w:t>Приложение № 4 – Образцы форм документов, включаемых в состав заявки</w:t>
      </w:r>
      <w:bookmarkEnd w:id="337"/>
    </w:p>
    <w:p>
      <w:pPr>
        <w:pStyle w:val="Style16"/>
        <w:spacing w:before="360" w:after="0"/>
        <w:rPr/>
      </w:pPr>
      <w:bookmarkStart w:id="338" w:name="_Toc228877718"/>
      <w:r>
        <w:rPr/>
        <w:t>Пояснения к Образцам форм документов, включаемых в состав заявки</w:t>
      </w:r>
      <w:bookmarkEnd w:id="338"/>
    </w:p>
    <w:p>
      <w:pPr>
        <w:pStyle w:val="Style17"/>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5"/>
        <w:spacing w:before="0" w:after="0"/>
        <w:rPr/>
      </w:pPr>
      <w:bookmarkStart w:id="339" w:name="_Toc228877719"/>
      <w:bookmarkStart w:id="340" w:name="Прил05_ФормыПобедителя"/>
      <w:bookmarkEnd w:id="340"/>
      <w:r>
        <w:rPr/>
        <w:t>Приложение № 5 – Образцы форм документов, предоставляемых Победителем</w:t>
      </w:r>
      <w:bookmarkEnd w:id="339"/>
    </w:p>
    <w:p>
      <w:pPr>
        <w:pStyle w:val="Style16"/>
        <w:spacing w:before="360" w:after="0"/>
        <w:rPr/>
      </w:pPr>
      <w:bookmarkStart w:id="341" w:name="_Toc228877720"/>
      <w:r>
        <w:rPr/>
        <w:t>Пояснения к Образцам форм документов, предоставляемых Победителем</w:t>
      </w:r>
      <w:bookmarkEnd w:id="341"/>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42" w:name="_Ref130395470"/>
      <w:bookmarkStart w:id="343" w:name="_Toc228877721"/>
      <w:r>
        <w:rPr/>
        <w:t>Форма справки «Сведения о цепочке собственников, включая бенефициаров (в том числе конечных)»</w:t>
      </w:r>
      <w:bookmarkEnd w:id="342"/>
      <w:bookmarkEnd w:id="343"/>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44" w:name="_MON_1805621314"/>
      <w:bookmarkEnd w:id="344"/>
      <w:r>
        <w:rPr/>
        <w:drawing>
          <wp:inline distT="0" distB="0" distL="0" distR="0">
            <wp:extent cx="960755" cy="381000"/>
            <wp:effectExtent l="0" t="0" r="0" b="0"/>
            <wp:docPr id="2" name="_x005F_x0000_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x005F_x0000_i1" descr=""/>
                    <pic:cNvPicPr>
                      <a:picLocks noChangeAspect="1" noChangeArrowheads="1"/>
                    </pic:cNvPicPr>
                  </pic:nvPicPr>
                  <pic:blipFill>
                    <a:blip r:embed="rId21"/>
                    <a:stretch>
                      <a:fillRect/>
                    </a:stretch>
                  </pic:blipFill>
                  <pic:spPr bwMode="auto">
                    <a:xfrm>
                      <a:off x="0" y="0"/>
                      <a:ext cx="960755" cy="381000"/>
                    </a:xfrm>
                    <a:prstGeom prst="rect">
                      <a:avLst/>
                    </a:prstGeom>
                  </pic:spPr>
                </pic:pic>
              </a:graphicData>
            </a:graphic>
          </wp:inline>
        </w:drawing>
      </w:r>
    </w:p>
    <w:p>
      <w:pPr>
        <w:pStyle w:val="Style16"/>
        <w:spacing w:before="360" w:after="0"/>
        <w:rPr/>
      </w:pPr>
      <w:bookmarkStart w:id="345" w:name="_Toc228877722"/>
      <w:bookmarkStart w:id="346" w:name="_Ref130395475"/>
      <w:r>
        <w:rPr/>
        <w:t>Форма «Заверение об обстоятельствах»</w:t>
      </w:r>
      <w:bookmarkEnd w:id="345"/>
      <w:bookmarkEnd w:id="346"/>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spacing w:before="120" w:after="120"/>
        <w:jc w:val="center"/>
        <w:rPr/>
      </w:pPr>
      <w:bookmarkStart w:id="347" w:name="_MON_1741074184"/>
      <w:bookmarkEnd w:id="347"/>
      <w:r>
        <w:rPr/>
        <w:drawing>
          <wp:inline distT="0" distB="0" distL="0" distR="0">
            <wp:extent cx="991235" cy="387985"/>
            <wp:effectExtent l="0" t="0" r="0" b="0"/>
            <wp:docPr id="3" name="_x005F_x0000_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x005F_x0000_i2" descr=""/>
                    <pic:cNvPicPr>
                      <a:picLocks noChangeAspect="1" noChangeArrowheads="1"/>
                    </pic:cNvPicPr>
                  </pic:nvPicPr>
                  <pic:blipFill>
                    <a:blip r:embed="rId22"/>
                    <a:stretch>
                      <a:fillRect/>
                    </a:stretch>
                  </pic:blipFill>
                  <pic:spPr bwMode="auto">
                    <a:xfrm>
                      <a:off x="0" y="0"/>
                      <a:ext cx="991235" cy="387985"/>
                    </a:xfrm>
                    <a:prstGeom prst="rect">
                      <a:avLst/>
                    </a:prstGeom>
                  </pic:spPr>
                </pic:pic>
              </a:graphicData>
            </a:graphic>
          </wp:inline>
        </w:drawing>
      </w:r>
    </w:p>
    <w:p>
      <w:pPr>
        <w:pStyle w:val="Style15"/>
        <w:spacing w:before="0" w:after="0"/>
        <w:rPr/>
      </w:pPr>
      <w:bookmarkStart w:id="348" w:name="_Toc228877723"/>
      <w:bookmarkStart w:id="349" w:name="_Ref125362865"/>
      <w:bookmarkStart w:id="350" w:name="_Ref125362900"/>
      <w:bookmarkStart w:id="351" w:name="Прил06_СоставЗаявки"/>
      <w:bookmarkEnd w:id="351"/>
      <w:r>
        <w:rPr/>
        <w:t>Приложение № 6 – Состав заявки</w:t>
      </w:r>
      <w:bookmarkEnd w:id="348"/>
      <w:bookmarkEnd w:id="349"/>
      <w:bookmarkEnd w:id="350"/>
    </w:p>
    <w:p>
      <w:pPr>
        <w:pStyle w:val="Style16"/>
        <w:spacing w:before="360" w:after="0"/>
        <w:rPr/>
      </w:pPr>
      <w:bookmarkStart w:id="352" w:name="_Toc228877724"/>
      <w:r>
        <w:rPr/>
        <w:t>Состав заявки</w:t>
      </w:r>
      <w:bookmarkEnd w:id="352"/>
    </w:p>
    <w:p>
      <w:pPr>
        <w:pStyle w:val="Style17"/>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rStyle w:val="Style6"/>
          </w:rPr>
          <w:t>Приложении № 4</w:t>
        </w:r>
      </w:hyperlink>
      <w:r>
        <w:rPr/>
        <w:t>):</w:t>
      </w:r>
    </w:p>
    <w:tbl>
      <w:tblPr>
        <w:tblStyle w:val="961"/>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Первая часть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numPr>
                <w:ilvl w:val="0"/>
                <w:numId w:val="7"/>
              </w:numPr>
              <w:suppressAutoHyphens w:val="true"/>
              <w:spacing w:lineRule="auto" w:line="240" w:before="60" w:after="0"/>
              <w:ind w:hanging="284" w:left="284"/>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numPr>
                <w:ilvl w:val="0"/>
                <w:numId w:val="7"/>
              </w:numPr>
              <w:suppressAutoHyphens w:val="true"/>
              <w:spacing w:lineRule="auto" w:line="240" w:before="0" w:after="60"/>
              <w:ind w:hanging="284" w:left="284"/>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3" w:name="_Ref132888537"/>
            <w:bookmarkStart w:id="354" w:name="_Ref132888537"/>
            <w:bookmarkEnd w:id="354"/>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5" w:name="_Ref130389408"/>
            <w:bookmarkStart w:id="356" w:name="_Ref130389408"/>
            <w:bookmarkEnd w:id="356"/>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7" w:name="_Ref130389413"/>
            <w:bookmarkStart w:id="358" w:name="_Ref130389413"/>
            <w:bookmarkEnd w:id="358"/>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9" w:name="_Ref130389419"/>
            <w:bookmarkStart w:id="360" w:name="_Ref130389419"/>
            <w:bookmarkEnd w:id="360"/>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3"/>
          <w:headerReference w:type="first" r:id="rId24"/>
          <w:footerReference w:type="default" r:id="rId25"/>
          <w:footerReference w:type="first" r:id="rId2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120" w:after="0"/>
        <w:rPr>
          <w:rStyle w:val="Style3"/>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61" w:name="_Ref125365264"/>
      <w:bookmarkStart w:id="362" w:name="_Toc228877725"/>
      <w:bookmarkStart w:id="363" w:name="Прил07_ОтборочныеКритерии"/>
      <w:bookmarkEnd w:id="363"/>
      <w:r>
        <w:rPr>
          <w:rStyle w:val="Style3"/>
          <w:i w:val="false"/>
          <w:iCs w:val="false"/>
          <w:shd w:fill="auto" w:val="clear"/>
        </w:rPr>
        <w:t>Приложение №</w:t>
      </w:r>
      <w:r>
        <w:rPr/>
        <w:t> 7 – Отборочные критерии рассмотрения заявок</w:t>
      </w:r>
      <w:bookmarkEnd w:id="361"/>
      <w:bookmarkEnd w:id="362"/>
    </w:p>
    <w:p>
      <w:pPr>
        <w:pStyle w:val="Style16"/>
        <w:spacing w:before="360" w:after="120"/>
        <w:rPr>
          <w:rStyle w:val="Style3"/>
          <w:i w:val="false"/>
          <w:i w:val="false"/>
          <w:iCs w:val="false"/>
          <w:shd w:fill="auto" w:val="clear"/>
        </w:rPr>
      </w:pPr>
      <w:bookmarkStart w:id="364" w:name="_Toc228877726"/>
      <w:r>
        <w:rPr>
          <w:rStyle w:val="Style3"/>
          <w:i w:val="false"/>
          <w:iCs w:val="false"/>
          <w:shd w:fill="auto" w:val="clear"/>
        </w:rPr>
        <w:t>Отборочные критерии рассмотрения первых частей заявок</w:t>
      </w:r>
      <w:bookmarkEnd w:id="364"/>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1"/>
              <w:widowControl/>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65" w:name="_Toc228877728"/>
      <w:bookmarkStart w:id="366" w:name="_Hlk132891087"/>
      <w:r>
        <w:rPr>
          <w:rStyle w:val="Style3"/>
          <w:i w:val="false"/>
          <w:iCs w:val="false"/>
          <w:shd w:fill="auto" w:val="clear"/>
        </w:rPr>
        <w:t>Отборочные критерии рассмотрения вторых частей заявок</w:t>
      </w:r>
      <w:bookmarkEnd w:id="365"/>
      <w:bookmarkEnd w:id="366"/>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tc>
          <w:tcPr>
            <w:tcW w:w="140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094"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56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64"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1"/>
              <w:widowControl/>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7" w:name="_Ref132890414"/>
            <w:bookmarkStart w:id="368" w:name="_Ref132890414"/>
            <w:bookmarkEnd w:id="368"/>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567" w:type="dxa"/>
            <w:tcBorders/>
          </w:tcPr>
          <w:p>
            <w:pPr>
              <w:pStyle w:val="Style21"/>
              <w:keepNext w:val="true"/>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64" w:type="dxa"/>
            <w:tcBorders/>
          </w:tcPr>
          <w:p>
            <w:pPr>
              <w:pStyle w:val="Style21"/>
              <w:keepNext w:val="true"/>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_Ref186220330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_Ref186220335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56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00" w:type="dxa"/>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567"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suppressAutoHyphens w:val="tru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_Ref186219943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69" w:name="_Toc228877729"/>
      <w:r>
        <w:rPr>
          <w:rStyle w:val="Style3"/>
          <w:i w:val="false"/>
          <w:iCs w:val="false"/>
          <w:shd w:fill="auto" w:val="clear"/>
        </w:rPr>
        <w:t>Отборочные критерии рассмотрения ценовых предложений</w:t>
      </w:r>
      <w:bookmarkEnd w:id="369"/>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suppressAutoHyphens w:val="tru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suppressAutoHyphens w:val="tru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numPr>
                <w:ilvl w:val="0"/>
                <w:numId w:val="11"/>
              </w:numPr>
              <w:suppressAutoHyphens w:val="true"/>
              <w:spacing w:lineRule="auto" w:line="240" w:before="0" w:after="0"/>
              <w:ind w:hanging="0" w:left="17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0" w:after="0"/>
              <w:jc w:val="left"/>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suppressAutoHyphens w:val="true"/>
              <w:spacing w:lineRule="auto" w:line="240" w:before="0" w:after="0"/>
              <w:jc w:val="left"/>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suppressAutoHyphens w:val="true"/>
              <w:spacing w:lineRule="auto" w:line="240"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p>
            <w:pPr>
              <w:pStyle w:val="Style21"/>
              <w:widowControl/>
              <w:suppressAutoHyphens w:val="true"/>
              <w:spacing w:lineRule="auto" w:line="240" w:before="0" w:after="0"/>
              <w:jc w:val="left"/>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cPr>
          <w:p>
            <w:pPr>
              <w:pStyle w:val="Style21"/>
              <w:widowControl/>
              <w:suppressAutoHyphens w:val="true"/>
              <w:spacing w:lineRule="auto" w:line="240"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11"/>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exact" w:line="227" w:before="0" w:after="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suppressAutoHyphens w:val="true"/>
              <w:spacing w:lineRule="exact" w:line="227" w:before="0" w:after="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rPr>
          <w:rStyle w:val="Style3"/>
          <w:i w:val="false"/>
          <w:i w:val="false"/>
          <w:iCs w:val="false"/>
          <w:shd w:fill="auto" w:val="clear"/>
        </w:rPr>
      </w:pPr>
      <w:bookmarkStart w:id="370" w:name="_Toc228877730"/>
      <w:r>
        <w:rPr>
          <w:rStyle w:val="Style3"/>
          <w:i w:val="false"/>
          <w:iCs w:val="false"/>
          <w:shd w:fill="auto" w:val="clear"/>
        </w:rPr>
        <w:t>Дополнительные критерии проверки заявок на соответствие условиям Документации о закупке</w:t>
      </w:r>
      <w:bookmarkEnd w:id="370"/>
    </w:p>
    <w:p>
      <w:pPr>
        <w:pStyle w:val="Style2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1412" w:type="dxa"/>
            <w:tcBorders/>
          </w:tcPr>
          <w:p>
            <w:pPr>
              <w:pStyle w:val="Style21"/>
              <w:widowControl/>
              <w:numPr>
                <w:ilvl w:val="0"/>
                <w:numId w:val="12"/>
              </w:numPr>
              <w:suppressAutoHyphens w:val="true"/>
              <w:spacing w:lineRule="exact" w:line="283"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exact" w:line="227"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1"/>
              <w:widowControl/>
              <w:suppressAutoHyphens w:val="true"/>
              <w:spacing w:lineRule="exact" w:line="227" w:before="0" w:after="0"/>
              <w:jc w:val="left"/>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suppressAutoHyphens w:val="true"/>
              <w:spacing w:lineRule="exact" w:line="283" w:before="0" w:after="0"/>
              <w:jc w:val="left"/>
              <w:rPr>
                <w:rStyle w:val="Style6"/>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exact" w:line="283"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240" w:after="0"/>
        <w:rPr>
          <w:b/>
          <w:bCs/>
        </w:rPr>
      </w:pPr>
      <w:r>
        <w:rPr>
          <w:b/>
          <w:bCs/>
        </w:rPr>
        <w:t>* Направления оценки заявок:</w:t>
      </w:r>
    </w:p>
    <w:p>
      <w:pPr>
        <w:pStyle w:val="Style21"/>
        <w:tabs>
          <w:tab w:val="clear" w:pos="708"/>
          <w:tab w:val="left" w:pos="1134" w:leader="none"/>
        </w:tabs>
        <w:spacing w:lineRule="auto" w:line="240" w:before="0" w:after="0"/>
        <w:ind w:hanging="1701" w:left="1701"/>
        <w:jc w:val="both"/>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tabs>
          <w:tab w:val="clear" w:pos="708"/>
          <w:tab w:val="left" w:pos="1134" w:leader="none"/>
        </w:tabs>
        <w:spacing w:lineRule="auto" w:line="240" w:before="0" w:after="0"/>
        <w:ind w:hanging="1701" w:left="1701"/>
        <w:jc w:val="both"/>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tabs>
          <w:tab w:val="clear" w:pos="708"/>
          <w:tab w:val="left" w:pos="1134" w:leader="none"/>
        </w:tabs>
        <w:spacing w:lineRule="auto" w:line="240" w:before="0" w:after="0"/>
        <w:ind w:hanging="1701" w:left="1701"/>
        <w:jc w:val="both"/>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tabs>
          <w:tab w:val="clear" w:pos="708"/>
          <w:tab w:val="left" w:pos="1134" w:leader="none"/>
        </w:tabs>
        <w:spacing w:lineRule="auto" w:line="240" w:before="0" w:after="0"/>
        <w:ind w:hanging="1701" w:left="1701"/>
        <w:jc w:val="both"/>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1"/>
        <w:tabs>
          <w:tab w:val="clear" w:pos="708"/>
          <w:tab w:val="left" w:pos="1134" w:leader="none"/>
        </w:tabs>
        <w:spacing w:lineRule="auto" w:line="240" w:before="0" w:after="0"/>
        <w:ind w:hanging="1701" w:left="1701"/>
        <w:jc w:val="both"/>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1"/>
        <w:spacing w:lineRule="auto" w:line="240" w:before="0" w:after="0"/>
        <w:jc w:val="both"/>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71" w:name="_Ref125369438"/>
      <w:bookmarkStart w:id="372" w:name="_Ref125361648"/>
      <w:bookmarkStart w:id="373" w:name="_Ref125361951"/>
      <w:bookmarkStart w:id="374" w:name="_Ref125366013"/>
      <w:bookmarkStart w:id="375" w:name="_Ref125366280"/>
      <w:bookmarkStart w:id="376" w:name="_Ref125366285"/>
      <w:bookmarkStart w:id="377" w:name="_Ref125368140"/>
      <w:bookmarkStart w:id="378" w:name="_Ref125368150"/>
      <w:bookmarkStart w:id="379" w:name="_Ref125368165"/>
      <w:bookmarkStart w:id="380" w:name="_Ref125368172"/>
      <w:bookmarkStart w:id="381" w:name="_Ref125368184"/>
      <w:bookmarkStart w:id="382" w:name="_Ref125368283"/>
      <w:bookmarkStart w:id="383" w:name="_Ref125368291"/>
      <w:bookmarkStart w:id="384" w:name="_Ref125368302"/>
      <w:bookmarkStart w:id="385" w:name="_Ref125368313"/>
      <w:bookmarkStart w:id="386" w:name="_Ref125368331"/>
      <w:bookmarkStart w:id="387" w:name="_Ref125369021"/>
      <w:bookmarkStart w:id="388" w:name="Прил08_ПорядокОценки"/>
      <w:bookmarkStart w:id="389" w:name="_Toc228877731"/>
      <w:bookmarkEnd w:id="388"/>
      <w:r>
        <w:rPr/>
        <w:t>Приложение № 8 – Порядок и критерии оценки и сопоставления заявок</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9"/>
    </w:p>
    <w:p>
      <w:pPr>
        <w:pStyle w:val="Style16"/>
        <w:spacing w:before="360" w:after="0"/>
        <w:rPr/>
      </w:pPr>
      <w:bookmarkStart w:id="390" w:name="_Toc228877732"/>
      <w:r>
        <w:rPr/>
        <w:t>Порядок и критерии оценки и сопоставления заявок</w:t>
      </w:r>
      <w:bookmarkEnd w:id="390"/>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961"/>
        <w:tblW w:w="14095"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051"/>
        <w:gridCol w:w="1269"/>
        <w:gridCol w:w="1141"/>
        <w:gridCol w:w="1617"/>
        <w:gridCol w:w="1249"/>
        <w:gridCol w:w="1900"/>
        <w:gridCol w:w="5867"/>
      </w:tblGrid>
      <w:tr>
        <w:trPr/>
        <w:tc>
          <w:tcPr>
            <w:tcW w:w="1051" w:type="dxa"/>
            <w:vMerge w:val="restart"/>
            <w:tcBorders/>
          </w:tcPr>
          <w:p>
            <w:pPr>
              <w:pStyle w:val="Style21"/>
              <w:keepNext w:val="true"/>
              <w:keepLines w:val="false"/>
              <w:widowControl/>
              <w:suppressAutoHyphens w:val="true"/>
              <w:spacing w:lineRule="auto" w:line="240" w:before="40" w:after="40"/>
              <w:ind w:hanging="0" w:left="0" w:right="-113"/>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t>структуре</w:t>
            </w:r>
          </w:p>
        </w:tc>
        <w:tc>
          <w:tcPr>
            <w:tcW w:w="1269"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2758" w:type="dxa"/>
            <w:gridSpan w:val="2"/>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249"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900"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5867"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1051"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269"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141" w:type="dxa"/>
            <w:tcBorders/>
          </w:tcPr>
          <w:p>
            <w:pPr>
              <w:pStyle w:val="Style21"/>
              <w:widowControl/>
              <w:suppressAutoHyphens w:val="true"/>
              <w:spacing w:lineRule="auto" w:line="240"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617" w:type="dxa"/>
            <w:tcBorders/>
          </w:tcPr>
          <w:p>
            <w:pPr>
              <w:pStyle w:val="Style21"/>
              <w:widowControl/>
              <w:suppressAutoHyphens w:val="true"/>
              <w:spacing w:lineRule="auto" w:line="240"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249"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900"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5867" w:type="dxa"/>
            <w:vMerge w:val="continue"/>
            <w:tcBorders/>
          </w:tcPr>
          <w:p>
            <w:pPr>
              <w:pStyle w:val="Style21"/>
              <w:widowControl/>
              <w:suppressAutoHyphens w:val="true"/>
              <w:spacing w:lineRule="auto" w:line="240" w:before="40" w:after="40"/>
              <w:jc w:val="center"/>
              <w:rPr>
                <w:sz w:val="18"/>
                <w:szCs w:val="18"/>
              </w:rPr>
            </w:pPr>
            <w:r>
              <w:rPr>
                <w:sz w:val="18"/>
                <w:szCs w:val="18"/>
              </w:rPr>
            </w:r>
          </w:p>
        </w:tc>
      </w:tr>
      <w:tr>
        <w:trPr/>
        <w:tc>
          <w:tcPr>
            <w:tcW w:w="1051"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1.</w:t>
            </w:r>
          </w:p>
        </w:tc>
        <w:tc>
          <w:tcPr>
            <w:tcW w:w="1269"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w:t>
            </w:r>
          </w:p>
        </w:tc>
        <w:tc>
          <w:tcPr>
            <w:tcW w:w="1141"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 договора (заявки)</w:t>
            </w:r>
          </w:p>
        </w:tc>
        <w:tc>
          <w:tcPr>
            <w:tcW w:w="1617"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249"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90%</w:t>
              <w:br/>
              <w:t>(В</w:t>
            </w:r>
            <w:r>
              <w:rPr>
                <w:rFonts w:cs="Times New Roman" w:ascii="Times New Roman" w:hAnsi="Times New Roman"/>
                <w:kern w:val="0"/>
                <w:sz w:val="18"/>
                <w:szCs w:val="18"/>
                <w:vertAlign w:val="subscript"/>
                <w:lang w:eastAsia="ru-RU"/>
              </w:rPr>
              <w:t>1</w:t>
            </w:r>
            <w:r>
              <w:rPr>
                <w:rFonts w:cs="Times New Roman" w:ascii="Times New Roman" w:hAnsi="Times New Roman"/>
                <w:kern w:val="0"/>
                <w:sz w:val="18"/>
                <w:szCs w:val="18"/>
                <w:lang w:eastAsia="ru-RU"/>
              </w:rPr>
              <w:t xml:space="preserve"> = 0,90)</w:t>
            </w:r>
          </w:p>
        </w:tc>
        <w:tc>
          <w:tcPr>
            <w:tcW w:w="1900"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Чем меньше цена заявки Участника, тем выше предпочтительность</w:t>
            </w:r>
          </w:p>
        </w:tc>
        <w:tc>
          <w:tcPr>
            <w:tcW w:w="5867" w:type="dxa"/>
            <w:tcBorders/>
          </w:tcPr>
          <w:p>
            <w:pPr>
              <w:pStyle w:val="31"/>
              <w:numPr>
                <w:ilvl w:val="7"/>
                <w:numId w:val="19"/>
              </w:numPr>
              <w:suppressAutoHyphens w:val="true"/>
              <w:spacing w:lineRule="auto" w:line="240" w:before="96" w:after="0"/>
              <w:ind w:hanging="0"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2"/>
              <w:numPr>
                <w:ilvl w:val="6"/>
                <w:numId w:val="19"/>
              </w:numPr>
              <w:suppressAutoHyphens w:val="true"/>
              <w:spacing w:lineRule="auto" w:line="240" w:before="0" w:after="0"/>
              <w:ind w:hanging="0" w:left="0" w:right="0"/>
              <w:jc w:val="center"/>
              <w:rPr>
                <w:rFonts w:ascii="Times New Roman" w:hAnsi="Times New Roman" w:cs="Times New Roman"/>
                <w:sz w:val="18"/>
                <w:szCs w:val="18"/>
              </w:rPr>
            </w:pPr>
            <w:r>
              <w:fldChar w:fldCharType="begin"/>
            </w:r>
            <w:r>
              <w:rPr/>
              <w:instrText xml:space="preserve">QUOTE</w:instrText>
            </w:r>
            <w:r>
              <w:rPr/>
            </w:r>
            <w:r>
              <w:rPr/>
              <w:drawing>
                <wp:inline distT="0" distB="0" distL="0" distR="0">
                  <wp:extent cx="1009650" cy="295275"/>
                  <wp:effectExtent l="0" t="0" r="0" b="0"/>
                  <wp:docPr id="4"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08" descr=""/>
                          <pic:cNvPicPr>
                            <a:picLocks noChangeAspect="1" noChangeArrowheads="1"/>
                          </pic:cNvPicPr>
                        </pic:nvPicPr>
                        <pic:blipFill>
                          <a:blip r:embed="rId27"/>
                          <a:stretch>
                            <a:fillRect/>
                          </a:stretch>
                        </pic:blipFill>
                        <pic:spPr bwMode="auto">
                          <a:xfrm>
                            <a:off x="0" y="0"/>
                            <a:ext cx="1009650" cy="295275"/>
                          </a:xfrm>
                          <a:prstGeom prst="rect">
                            <a:avLst/>
                          </a:prstGeom>
                        </pic:spPr>
                      </pic:pic>
                    </a:graphicData>
                  </a:graphic>
                </wp:inline>
              </w:drawing>
            </w:r>
            <w:r>
              <w:rPr>
                <w:sz w:val="18"/>
                <w:szCs w:val="18"/>
              </w:rPr>
              <w:fldChar w:fldCharType="separate"/>
            </w:r>
            <w:r>
              <w:rPr>
                <w:sz w:val="18"/>
                <w:szCs w:val="18"/>
              </w:rPr>
            </w:r>
            <w:r>
              <w:rPr>
                <w:sz w:val="18"/>
                <w:szCs w:val="18"/>
              </w:rPr>
            </w:r>
            <w:r>
              <w:rPr>
                <w:sz w:val="18"/>
                <w:szCs w:val="18"/>
              </w:rPr>
              <w:fldChar w:fldCharType="end"/>
            </w: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p>
          <w:p>
            <w:pPr>
              <w:pStyle w:val="22"/>
              <w:numPr>
                <w:ilvl w:val="6"/>
                <w:numId w:val="19"/>
              </w:numPr>
              <w:suppressAutoHyphens w:val="true"/>
              <w:spacing w:lineRule="auto" w:line="240" w:before="0"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numPr>
                <w:ilvl w:val="6"/>
                <w:numId w:val="19"/>
              </w:numPr>
              <w:tabs>
                <w:tab w:val="clear" w:pos="0"/>
                <w:tab w:val="left" w:pos="283" w:leader="none"/>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Б</w:t>
            </w:r>
            <w:r>
              <w:rPr>
                <w:rFonts w:cs="Cantarell" w:ascii="Cantarell" w:hAnsi="Cantarell"/>
                <w:kern w:val="0"/>
                <w:sz w:val="20"/>
                <w:szCs w:val="20"/>
                <w:vertAlign w:val="subscript"/>
                <w:lang w:eastAsia="ru-RU"/>
              </w:rPr>
              <w:t>1</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22"/>
              <w:numPr>
                <w:ilvl w:val="6"/>
                <w:numId w:val="19"/>
              </w:numPr>
              <w:tabs>
                <w:tab w:val="clear" w:pos="0"/>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ЦЕНА</w:t>
            </w:r>
            <w:r>
              <w:rPr>
                <w:rFonts w:cs="Times New Roman"/>
                <w:kern w:val="0"/>
                <w:sz w:val="14"/>
                <w:szCs w:val="18"/>
                <w:lang w:eastAsia="ru-RU"/>
              </w:rPr>
              <w:t>i</w:t>
            </w:r>
            <w:r>
              <w:rPr>
                <w:rFonts w:cs="Times New Roman"/>
                <w:kern w:val="0"/>
                <w:sz w:val="18"/>
                <w:szCs w:val="18"/>
                <w:lang w:eastAsia="ru-RU"/>
              </w:rPr>
              <w:t>  – цена договора (заявки), указанная в i-той заявке (в Коммерческом предложении по установленной в Документации о закупке форме) допущенного Участника, руб. без учета НДС ;</w:t>
            </w:r>
          </w:p>
          <w:p>
            <w:pPr>
              <w:pStyle w:val="22"/>
              <w:numPr>
                <w:ilvl w:val="6"/>
                <w:numId w:val="19"/>
              </w:numPr>
              <w:tabs>
                <w:tab w:val="clear" w:pos="0"/>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ЦЕНА</w:t>
            </w:r>
            <w:r>
              <w:rPr>
                <w:rFonts w:cs="Times New Roman"/>
                <w:kern w:val="0"/>
                <w:sz w:val="14"/>
                <w:szCs w:val="18"/>
                <w:lang w:eastAsia="ru-RU"/>
              </w:rPr>
              <w:t>min</w:t>
            </w:r>
            <w:r>
              <w:rPr>
                <w:rFonts w:cs="Times New Roman"/>
                <w:kern w:val="0"/>
                <w:sz w:val="18"/>
                <w:szCs w:val="18"/>
                <w:lang w:eastAsia="ru-RU"/>
              </w:rPr>
              <w:t xml:space="preserve"> – минимальная цена договора (заявки) среди всех допущенных заявок Участников, руб. без учета НДС;</w:t>
            </w:r>
          </w:p>
          <w:p>
            <w:pPr>
              <w:pStyle w:val="22"/>
              <w:numPr>
                <w:ilvl w:val="6"/>
                <w:numId w:val="19"/>
              </w:numPr>
              <w:tabs>
                <w:tab w:val="clear" w:pos="0"/>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1"/>
              <w:numPr>
                <w:ilvl w:val="7"/>
                <w:numId w:val="19"/>
              </w:numPr>
              <w:suppressAutoHyphens w:val="true"/>
              <w:spacing w:lineRule="auto" w:line="240" w:before="96" w:after="0"/>
              <w:ind w:firstLine="283" w:left="0" w:right="0"/>
              <w:jc w:val="left"/>
              <w:rPr>
                <w:rFonts w:ascii="Times New Roman" w:hAnsi="Times New Roman" w:cs="Times New Roman"/>
                <w:color w:val="000000"/>
                <w:sz w:val="18"/>
                <w:szCs w:val="18"/>
              </w:rPr>
            </w:pPr>
            <w:r>
              <w:rPr>
                <w:rFonts w:cs="Times New Roman" w:ascii="Times New Roman" w:hAnsi="Times New Roman"/>
                <w:kern w:val="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cs="Times New Roman" w:ascii="Times New Roman" w:hAnsi="Times New Roman"/>
                <w:color w:val="000000"/>
                <w:kern w:val="0"/>
                <w:sz w:val="18"/>
                <w:szCs w:val="18"/>
              </w:rPr>
              <w:t>.</w:t>
            </w:r>
          </w:p>
          <w:p>
            <w:pPr>
              <w:pStyle w:val="31"/>
              <w:numPr>
                <w:ilvl w:val="7"/>
                <w:numId w:val="19"/>
              </w:numPr>
              <w:suppressAutoHyphens w:val="true"/>
              <w:spacing w:lineRule="auto" w:line="240" w:before="0" w:after="0"/>
              <w:ind w:firstLine="283" w:left="0" w:right="0"/>
              <w:jc w:val="left"/>
              <w:rPr>
                <w:rFonts w:ascii="Times New Roman" w:hAnsi="Times New Roman" w:cs="Times New Roman"/>
                <w:sz w:val="18"/>
                <w:szCs w:val="18"/>
              </w:rPr>
            </w:pPr>
            <w:r>
              <w:rPr>
                <w:rFonts w:eastAsia="Times New Roman" w:cs="Times New Roman" w:ascii="Times New Roman" w:hAnsi="Times New Roman"/>
                <w:kern w:val="0"/>
                <w:sz w:val="18"/>
                <w:szCs w:val="18"/>
                <w:lang w:eastAsia="en-US"/>
              </w:rPr>
              <w:t>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pPr>
              <w:pStyle w:val="31"/>
              <w:numPr>
                <w:ilvl w:val="7"/>
                <w:numId w:val="19"/>
              </w:numPr>
              <w:suppressAutoHyphens w:val="true"/>
              <w:spacing w:lineRule="auto" w:line="240" w:before="0" w:after="96"/>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1051"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2.</w:t>
            </w:r>
          </w:p>
          <w:p>
            <w:pPr>
              <w:pStyle w:val="31"/>
              <w:numPr>
                <w:ilvl w:val="0"/>
                <w:numId w:val="0"/>
              </w:numPr>
              <w:suppressAutoHyphens w:val="true"/>
              <w:spacing w:lineRule="auto" w:line="240" w:before="40" w:after="40"/>
              <w:ind w:hanging="0" w:left="0" w:right="0"/>
              <w:rPr>
                <w:rFonts w:ascii="Times New Roman" w:hAnsi="Times New Roman" w:cs="Times New Roman"/>
                <w:sz w:val="18"/>
                <w:szCs w:val="18"/>
              </w:rPr>
            </w:pPr>
            <w:r>
              <w:rPr>
                <w:rFonts w:cs="Times New Roman" w:ascii="Times New Roman" w:hAnsi="Times New Roman"/>
                <w:sz w:val="18"/>
                <w:szCs w:val="18"/>
              </w:rPr>
            </w:r>
          </w:p>
        </w:tc>
        <w:tc>
          <w:tcPr>
            <w:tcW w:w="1269"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ТЕХ</w:t>
            </w:r>
          </w:p>
        </w:tc>
        <w:tc>
          <w:tcPr>
            <w:tcW w:w="1141"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Квалификация (предпочти-тельность) Участника</w:t>
            </w:r>
          </w:p>
        </w:tc>
        <w:tc>
          <w:tcPr>
            <w:tcW w:w="1617"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i/>
                <w:kern w:val="0"/>
                <w:sz w:val="18"/>
                <w:szCs w:val="18"/>
                <w:lang w:eastAsia="ru-RU"/>
              </w:rPr>
              <w:t>отсутствует</w:t>
            </w:r>
          </w:p>
        </w:tc>
        <w:tc>
          <w:tcPr>
            <w:tcW w:w="1249"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2</w:t>
            </w:r>
            <w:r>
              <w:rPr>
                <w:rFonts w:cs="Times New Roman" w:ascii="Times New Roman" w:hAnsi="Times New Roman"/>
                <w:kern w:val="0"/>
                <w:sz w:val="18"/>
                <w:szCs w:val="18"/>
                <w:lang w:eastAsia="ru-RU"/>
              </w:rPr>
              <w:t xml:space="preserve"> = 0,05)</w:t>
            </w:r>
          </w:p>
        </w:tc>
        <w:tc>
          <w:tcPr>
            <w:tcW w:w="1900" w:type="dxa"/>
            <w:tcBorders/>
          </w:tcPr>
          <w:p>
            <w:pPr>
              <w:pStyle w:val="31"/>
              <w:numPr>
                <w:ilvl w:val="7"/>
                <w:numId w:val="20"/>
              </w:numPr>
              <w:tabs>
                <w:tab w:val="clear" w:pos="0"/>
              </w:tabs>
              <w:suppressAutoHyphens w:val="true"/>
              <w:spacing w:lineRule="auto" w:line="240" w:before="40" w:after="0"/>
              <w:ind w:hanging="0" w:left="0" w:right="0"/>
              <w:jc w:val="center"/>
              <w:rPr>
                <w:sz w:val="17"/>
                <w:szCs w:val="17"/>
              </w:rPr>
            </w:pPr>
            <w:r>
              <w:rPr>
                <w:rFonts w:cs="Times New Roman" w:ascii="Times New Roman" w:hAnsi="Times New Roman"/>
                <w:kern w:val="0"/>
                <w:sz w:val="17"/>
                <w:szCs w:val="17"/>
                <w:lang w:eastAsia="ru-RU"/>
              </w:rPr>
              <w:t xml:space="preserve">Чем больше опыт оказания аналогичных профилю закупки услуг </w:t>
            </w:r>
            <w:r>
              <w:rPr>
                <w:rFonts w:cs="Times New Roman" w:ascii="Times New Roman" w:hAnsi="Times New Roman"/>
                <w:b/>
                <w:bCs/>
                <w:kern w:val="0"/>
                <w:sz w:val="17"/>
                <w:szCs w:val="17"/>
                <w:lang w:eastAsia="ru-RU"/>
              </w:rPr>
              <w:t>(</w:t>
            </w:r>
            <w:r>
              <w:rPr>
                <w:rFonts w:cs="Times New Roman" w:ascii="Times New Roman" w:hAnsi="Times New Roman"/>
                <w:b/>
                <w:bCs/>
                <w:kern w:val="0"/>
                <w:sz w:val="17"/>
                <w:szCs w:val="17"/>
                <w:highlight w:val="yellow"/>
                <w:lang w:eastAsia="ru-RU"/>
              </w:rPr>
              <w:t>по ремонту газоходов и/или производственных зданий и сооружений</w:t>
            </w:r>
            <w:r>
              <w:rPr>
                <w:rFonts w:cs="Times New Roman" w:ascii="Times New Roman" w:hAnsi="Times New Roman"/>
                <w:b/>
                <w:bCs/>
                <w:kern w:val="0"/>
                <w:sz w:val="17"/>
                <w:szCs w:val="17"/>
                <w:highlight w:val="yellow"/>
                <w:lang w:eastAsia="ru-RU"/>
              </w:rPr>
              <w:t>)</w:t>
            </w:r>
            <w:r>
              <w:rPr>
                <w:rFonts w:cs="Times New Roman" w:ascii="Times New Roman" w:hAnsi="Times New Roman"/>
                <w:kern w:val="0"/>
                <w:sz w:val="17"/>
                <w:szCs w:val="17"/>
                <w:highlight w:val="yellow"/>
                <w:lang w:eastAsia="ru-RU"/>
              </w:rPr>
              <w:t xml:space="preserve"> </w:t>
            </w:r>
            <w:r>
              <w:rPr>
                <w:rFonts w:cs="Times New Roman" w:ascii="Times New Roman" w:hAnsi="Times New Roman"/>
                <w:kern w:val="0"/>
                <w:sz w:val="17"/>
                <w:szCs w:val="17"/>
                <w:lang w:eastAsia="ru-RU"/>
              </w:rPr>
              <w:t>за 5 лет предшествующих дате подачи заявки, тем выше предпочтительность.</w:t>
            </w:r>
          </w:p>
          <w:p>
            <w:pPr>
              <w:pStyle w:val="31"/>
              <w:numPr>
                <w:ilvl w:val="7"/>
                <w:numId w:val="20"/>
              </w:numPr>
              <w:suppressAutoHyphens w:val="true"/>
              <w:spacing w:lineRule="auto" w:line="240" w:before="0" w:after="40"/>
              <w:ind w:hanging="0" w:left="0" w:right="0"/>
              <w:jc w:val="center"/>
              <w:rPr>
                <w:rFonts w:ascii="Times New Roman" w:hAnsi="Times New Roman" w:cs="Times New Roman"/>
                <w:sz w:val="18"/>
                <w:szCs w:val="18"/>
              </w:rPr>
            </w:pPr>
            <w:r>
              <w:rPr>
                <w:rFonts w:cs="Times New Roman" w:ascii="Times New Roman" w:hAnsi="Times New Roman"/>
                <w:sz w:val="18"/>
                <w:szCs w:val="18"/>
              </w:rPr>
            </w:r>
          </w:p>
        </w:tc>
        <w:tc>
          <w:tcPr>
            <w:tcW w:w="5867" w:type="dxa"/>
            <w:tcBorders/>
          </w:tcPr>
          <w:p>
            <w:pPr>
              <w:pStyle w:val="Normal"/>
              <w:widowControl/>
              <w:numPr>
                <w:ilvl w:val="7"/>
                <w:numId w:val="27"/>
              </w:numPr>
              <w:suppressAutoHyphens w:val="true"/>
              <w:spacing w:lineRule="auto" w:line="240" w:before="0" w:after="60"/>
              <w:ind w:firstLine="283" w:left="0" w:right="0"/>
              <w:jc w:val="left"/>
              <w:rPr>
                <w:rFonts w:eastAsia="Calibri"/>
                <w:kern w:val="0"/>
                <w:lang w:val="ru-RU" w:eastAsia="en-US" w:bidi="ar-SA"/>
              </w:rPr>
            </w:pPr>
            <w:r>
              <w:rPr>
                <w:rFonts w:eastAsia="Calibri" w:cs="Times New Roman"/>
                <w:color w:val="000000" w:themeColor="text1"/>
                <w:kern w:val="0"/>
                <w:sz w:val="18"/>
                <w:szCs w:val="18"/>
                <w:lang w:val="ru-RU" w:eastAsia="en-US" w:bidi="ar-SA"/>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Normal"/>
              <w:widowControl/>
              <w:numPr>
                <w:ilvl w:val="7"/>
                <w:numId w:val="28"/>
              </w:numPr>
              <w:suppressAutoHyphens w:val="true"/>
              <w:spacing w:lineRule="auto" w:line="240" w:before="0" w:after="0"/>
              <w:ind w:firstLine="283" w:left="0" w:right="0"/>
              <w:jc w:val="left"/>
              <w:rPr>
                <w:rFonts w:eastAsia="Calibri"/>
                <w:kern w:val="0"/>
                <w:lang w:val="ru-RU" w:eastAsia="en-US" w:bidi="ar-SA"/>
              </w:rPr>
            </w:pPr>
            <w:r>
              <w:rPr>
                <w:rFonts w:eastAsia="Calibri" w:cs="Times New Roman"/>
                <w:color w:val="000000" w:themeColor="text1"/>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 предшествующих дате подачи заявки Участником, с учетом правоприемственности, с приложением следующих подтверждающих документов: </w:t>
            </w:r>
          </w:p>
          <w:p>
            <w:pPr>
              <w:pStyle w:val="Normal"/>
              <w:widowControl/>
              <w:numPr>
                <w:ilvl w:val="7"/>
                <w:numId w:val="29"/>
              </w:numPr>
              <w:suppressAutoHyphens w:val="true"/>
              <w:spacing w:lineRule="auto" w:line="240" w:before="0" w:after="0"/>
              <w:ind w:firstLine="283" w:left="0" w:right="0"/>
              <w:jc w:val="left"/>
              <w:rPr>
                <w:color w:themeColor="text1"/>
                <w:highlight w:val="none"/>
                <w:shd w:fill="FFFF00" w:val="clear"/>
              </w:rPr>
            </w:pPr>
            <w:r>
              <w:rPr>
                <w:rFonts w:eastAsia="Calibri" w:cs="Times New Roman"/>
                <w:color w:val="000000" w:themeColor="text1"/>
                <w:kern w:val="0"/>
                <w:sz w:val="18"/>
                <w:szCs w:val="18"/>
                <w:shd w:fill="FFFF00" w:val="clear"/>
                <w:lang w:val="ru-RU" w:eastAsia="en-US" w:bidi="ar-SA"/>
              </w:rPr>
              <w:t xml:space="preserve">- копии договоров, подписанных с обеих сторон и скрепленных печатью;  </w:t>
            </w:r>
          </w:p>
          <w:p>
            <w:pPr>
              <w:pStyle w:val="Normal"/>
              <w:widowControl/>
              <w:numPr>
                <w:ilvl w:val="7"/>
                <w:numId w:val="30"/>
              </w:numPr>
              <w:suppressAutoHyphens w:val="true"/>
              <w:spacing w:lineRule="auto" w:line="240" w:before="0" w:after="0"/>
              <w:ind w:firstLine="283" w:left="0" w:right="0"/>
              <w:jc w:val="left"/>
              <w:rPr>
                <w:rFonts w:eastAsia="Calibri"/>
                <w:kern w:val="0"/>
                <w:lang w:val="ru-RU" w:eastAsia="en-US" w:bidi="ar-SA"/>
              </w:rPr>
            </w:pPr>
            <w:r>
              <w:rPr>
                <w:rFonts w:eastAsia="Calibri" w:cs="Times New Roman"/>
                <w:color w:val="000000" w:themeColor="text1"/>
                <w:kern w:val="0"/>
                <w:sz w:val="18"/>
                <w:szCs w:val="18"/>
                <w:shd w:fill="FFFF00" w:val="clear"/>
                <w:lang w:val="ru-RU" w:eastAsia="en-US" w:bidi="ar-SA"/>
              </w:rPr>
              <w:t xml:space="preserve"> </w:t>
            </w:r>
            <w:r>
              <w:rPr>
                <w:rFonts w:eastAsia="Calibri" w:cs="Times New Roman"/>
                <w:color w:val="000000" w:themeColor="text1"/>
                <w:kern w:val="0"/>
                <w:sz w:val="18"/>
                <w:szCs w:val="18"/>
                <w:shd w:fill="FFFF00" w:val="clear"/>
                <w:lang w:val="ru-RU" w:eastAsia="en-US" w:bidi="ar-SA"/>
              </w:rPr>
              <w:t xml:space="preserve">-копии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w:t>
            </w:r>
            <w:r>
              <w:rPr>
                <w:rFonts w:eastAsia="Calibri" w:cs="Times New Roman"/>
                <w:color w:val="000000" w:themeColor="text1"/>
                <w:kern w:val="0"/>
                <w:sz w:val="18"/>
                <w:szCs w:val="18"/>
                <w:lang w:val="ru-RU" w:eastAsia="en-US"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numPr>
                <w:ilvl w:val="7"/>
                <w:numId w:val="31"/>
              </w:numPr>
              <w:suppressAutoHyphens w:val="true"/>
              <w:spacing w:lineRule="auto" w:line="240" w:before="0" w:after="60"/>
              <w:ind w:firstLine="283" w:left="0" w:right="0"/>
              <w:jc w:val="left"/>
              <w:rPr>
                <w:rFonts w:ascii="Times New Roman" w:hAnsi="Times New Roman" w:cs="Times New Roman"/>
                <w:color w:val="000000" w:themeColor="text1"/>
                <w:sz w:val="18"/>
                <w:szCs w:val="18"/>
              </w:rPr>
            </w:pPr>
            <w:r>
              <w:rPr>
                <w:rFonts w:eastAsia="Calibri" w:cs="Times New Roman"/>
                <w:color w:val="000000" w:themeColor="text1"/>
                <w:kern w:val="0"/>
                <w:sz w:val="18"/>
                <w:szCs w:val="18"/>
                <w:lang w:val="ru-RU" w:eastAsia="en-US" w:bidi="ar-SA"/>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w:t>
            </w:r>
          </w:p>
          <w:tbl>
            <w:tblPr>
              <w:tblW w:w="56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83"/>
              <w:gridCol w:w="4785"/>
            </w:tblGrid>
            <w:tr>
              <w:trPr>
                <w:cantSplit w:val="true"/>
              </w:trPr>
              <w:tc>
                <w:tcPr>
                  <w:tcW w:w="883" w:type="dxa"/>
                  <w:tcBorders>
                    <w:bottom w:val="single" w:sz="4" w:space="0" w:color="000000"/>
                    <w:right w:val="single" w:sz="4" w:space="0" w:color="000000"/>
                  </w:tcBorders>
                </w:tcPr>
                <w:p>
                  <w:pPr>
                    <w:pStyle w:val="Normal"/>
                    <w:numPr>
                      <w:ilvl w:val="0"/>
                      <w:numId w:val="0"/>
                    </w:numPr>
                    <w:spacing w:before="0" w:after="0"/>
                    <w:ind w:firstLine="27" w:left="0"/>
                    <w:jc w:val="center"/>
                    <w:rPr>
                      <w:rFonts w:ascii="Times New Roman" w:hAnsi="Times New Roman" w:cs="Times New Roman"/>
                      <w:color w:val="000000" w:themeColor="text1"/>
                      <w:sz w:val="18"/>
                      <w:szCs w:val="18"/>
                      <w14:ligatures w14:val="none"/>
                    </w:rPr>
                  </w:pPr>
                  <w:r>
                    <w:rPr>
                      <w:rFonts w:eastAsia="Calibri" w:cs="Times New Roman"/>
                      <w:color w:val="000000" w:themeColor="text1"/>
                      <w:sz w:val="18"/>
                      <w:szCs w:val="18"/>
                      <w:lang w:eastAsia="ru-RU"/>
                    </w:rPr>
                    <w:t>Б2 = 0</w:t>
                  </w:r>
                </w:p>
              </w:tc>
              <w:tc>
                <w:tcPr>
                  <w:tcW w:w="4785" w:type="dxa"/>
                  <w:tcBorders>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14:ligatures w14:val="none"/>
                    </w:rPr>
                  </w:pPr>
                  <w:r>
                    <w:rPr>
                      <w:rFonts w:eastAsia="Calibri" w:cs="Times New Roman"/>
                      <w:color w:val="000000" w:themeColor="text1"/>
                      <w:sz w:val="18"/>
                      <w:szCs w:val="18"/>
                    </w:rPr>
                    <w:t>Опыт отсутствует/Опыт не подтвержден;</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1</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 xml:space="preserve">более 0% от НМЦ «без учета НДС», но менее 20% от НМЦ «без учета НДС» </w:t>
                  </w:r>
                </w:p>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(включительно)</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2</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более 20% от НМЦ «без учета НДС», но менее 40% от НМЦ «без учета НДС» (включительно)</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3</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более 40% от НМЦ «без учета НДС», но менее 60% от НМЦ «без учета НДС» (включительно)</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4</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более 60% от НМЦ «без учета НДС», но менее 80% от НМЦ «без учета НДС» (включительно)</w:t>
                  </w:r>
                </w:p>
              </w:tc>
            </w:tr>
            <w:tr>
              <w:trPr>
                <w:cantSplit w:val="true"/>
              </w:trPr>
              <w:tc>
                <w:tcPr>
                  <w:tcW w:w="883" w:type="dxa"/>
                  <w:tcBorders>
                    <w:top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5</w:t>
                  </w:r>
                </w:p>
              </w:tc>
              <w:tc>
                <w:tcPr>
                  <w:tcW w:w="4785" w:type="dxa"/>
                  <w:tcBorders>
                    <w:top w:val="single" w:sz="4" w:space="0" w:color="000000"/>
                    <w:left w:val="single" w:sz="4" w:space="0" w:color="000000"/>
                  </w:tcBorders>
                </w:tcPr>
                <w:p>
                  <w:pPr>
                    <w:pStyle w:val="Normal"/>
                    <w:spacing w:before="120" w:after="0"/>
                    <w:rPr>
                      <w:rFonts w:ascii="Times New Roman" w:hAnsi="Times New Roman" w:cs="Times New Roman"/>
                      <w:sz w:val="18"/>
                      <w:szCs w:val="18"/>
                    </w:rPr>
                  </w:pPr>
                  <w:r>
                    <w:rPr>
                      <w:rFonts w:eastAsia="Calibri" w:cs="Times New Roman"/>
                      <w:color w:val="000000" w:themeColor="text1"/>
                      <w:sz w:val="18"/>
                      <w:szCs w:val="18"/>
                    </w:rPr>
                    <w:t>более 80% от НМЦ «без учета НДС» и выше;</w:t>
                  </w:r>
                </w:p>
              </w:tc>
            </w:tr>
          </w:tbl>
          <w:p>
            <w:pPr>
              <w:pStyle w:val="22"/>
              <w:numPr>
                <w:ilvl w:val="6"/>
                <w:numId w:val="20"/>
              </w:numPr>
              <w:suppressAutoHyphens w:val="true"/>
              <w:spacing w:lineRule="auto" w:line="240" w:before="96"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numPr>
                <w:ilvl w:val="6"/>
                <w:numId w:val="20"/>
              </w:numPr>
              <w:tabs>
                <w:tab w:val="left" w:pos="0" w:leader="none"/>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Б</w:t>
            </w:r>
            <w:r>
              <w:rPr>
                <w:rFonts w:cs="Times New Roman"/>
                <w:kern w:val="0"/>
                <w:sz w:val="18"/>
                <w:szCs w:val="18"/>
                <w:vertAlign w:val="subscript"/>
                <w:lang w:eastAsia="ru-RU"/>
              </w:rPr>
              <w:t>2</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31"/>
              <w:numPr>
                <w:ilvl w:val="7"/>
                <w:numId w:val="20"/>
              </w:numPr>
              <w:suppressAutoHyphens w:val="true"/>
              <w:spacing w:lineRule="auto" w:line="240" w:before="40" w:after="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Опыт, несоответствующий установленным в документации о закупке требованиям  не оценивается.</w:t>
            </w:r>
          </w:p>
          <w:p>
            <w:pPr>
              <w:pStyle w:val="31"/>
              <w:numPr>
                <w:ilvl w:val="7"/>
                <w:numId w:val="20"/>
              </w:numPr>
              <w:suppressAutoHyphens w:val="true"/>
              <w:spacing w:lineRule="auto" w:line="240" w:before="0" w:after="4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1051"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3.</w:t>
            </w:r>
          </w:p>
        </w:tc>
        <w:tc>
          <w:tcPr>
            <w:tcW w:w="1269"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ОРГ</w:t>
            </w:r>
          </w:p>
        </w:tc>
        <w:tc>
          <w:tcPr>
            <w:tcW w:w="1141" w:type="dxa"/>
            <w:tcBorders/>
          </w:tcPr>
          <w:p>
            <w:pPr>
              <w:pStyle w:val="31"/>
              <w:numPr>
                <w:ilvl w:val="7"/>
                <w:numId w:val="21"/>
              </w:numPr>
              <w:suppressAutoHyphens w:val="true"/>
              <w:spacing w:lineRule="auto" w:line="240" w:before="40" w:after="40"/>
              <w:ind w:hanging="0" w:left="0" w:right="-57"/>
              <w:jc w:val="center"/>
              <w:rPr>
                <w:rFonts w:ascii="Times New Roman" w:hAnsi="Times New Roman" w:cs="Times New Roman"/>
                <w:sz w:val="18"/>
                <w:szCs w:val="18"/>
              </w:rPr>
            </w:pPr>
            <w:r>
              <w:rPr>
                <w:rFonts w:eastAsia="Calibri" w:cs="Times New Roman" w:ascii="Times New Roman" w:hAnsi="Times New Roman"/>
                <w:kern w:val="0"/>
                <w:sz w:val="18"/>
                <w:szCs w:val="18"/>
              </w:rPr>
              <w:t>Финансовое состояние (устойчивость) Участника</w:t>
            </w:r>
          </w:p>
        </w:tc>
        <w:tc>
          <w:tcPr>
            <w:tcW w:w="1617"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249"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3</w:t>
            </w:r>
            <w:r>
              <w:rPr>
                <w:rFonts w:cs="Times New Roman" w:ascii="Times New Roman" w:hAnsi="Times New Roman"/>
                <w:kern w:val="0"/>
                <w:sz w:val="18"/>
                <w:szCs w:val="18"/>
                <w:lang w:eastAsia="ru-RU"/>
              </w:rPr>
              <w:t xml:space="preserve"> = 0,05)</w:t>
            </w:r>
          </w:p>
        </w:tc>
        <w:tc>
          <w:tcPr>
            <w:tcW w:w="1900"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eastAsia="Calibri" w:cs="Times New Roman" w:ascii="Times New Roman" w:hAnsi="Times New Roman"/>
                <w:kern w:val="0"/>
                <w:sz w:val="18"/>
                <w:szCs w:val="18"/>
              </w:rPr>
              <w:t>Чем выше результат оценки финансового состояния (устойчивости) Участника, тем выше предпочтительность</w:t>
            </w:r>
          </w:p>
        </w:tc>
        <w:tc>
          <w:tcPr>
            <w:tcW w:w="5867" w:type="dxa"/>
            <w:tcBorders/>
          </w:tcPr>
          <w:p>
            <w:pPr>
              <w:pStyle w:val="Style21"/>
              <w:widowControl/>
              <w:suppressAutoHyphens w:val="true"/>
              <w:spacing w:lineRule="auto" w:line="240" w:before="40" w:after="40"/>
              <w:ind w:firstLine="283" w:left="0" w:right="0"/>
              <w:jc w:val="left"/>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suppressAutoHyphens w:val="true"/>
              <w:spacing w:lineRule="auto" w:line="240" w:before="40" w:after="40"/>
              <w:ind w:firstLine="283" w:left="0" w:right="0"/>
              <w:jc w:val="both"/>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numPr>
                <w:ilvl w:val="0"/>
                <w:numId w:val="18"/>
              </w:numPr>
              <w:suppressAutoHyphens w:val="true"/>
              <w:spacing w:lineRule="auto" w:line="240" w:before="40" w:after="0"/>
              <w:ind w:hanging="142" w:left="142"/>
              <w:jc w:val="both"/>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3"/>
            </w:r>
            <w:r>
              <w:rPr>
                <w:rFonts w:eastAsia="Calibri" w:cs="Arial"/>
                <w:kern w:val="0"/>
                <w:sz w:val="18"/>
                <w:szCs w:val="18"/>
                <w:lang w:val="ru-RU" w:eastAsia="en-US" w:bidi="ar-SA"/>
              </w:rPr>
              <w:t>;</w:t>
            </w:r>
          </w:p>
          <w:p>
            <w:pPr>
              <w:pStyle w:val="Style21"/>
              <w:keepNext w:val="true"/>
              <w:widowControl/>
              <w:numPr>
                <w:ilvl w:val="0"/>
                <w:numId w:val="18"/>
              </w:numPr>
              <w:suppressAutoHyphens w:val="true"/>
              <w:spacing w:lineRule="auto" w:line="240" w:before="0" w:after="40"/>
              <w:ind w:hanging="142" w:left="142"/>
              <w:jc w:val="both"/>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suppressAutoHyphens w:val="true"/>
              <w:spacing w:lineRule="auto" w:line="240" w:before="40" w:after="40"/>
              <w:ind w:left="142"/>
              <w:jc w:val="both"/>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suppressAutoHyphens w:val="true"/>
              <w:spacing w:lineRule="auto" w:line="240" w:before="40" w:after="40"/>
              <w:ind w:left="142"/>
              <w:jc w:val="both"/>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numPr>
                <w:ilvl w:val="0"/>
                <w:numId w:val="18"/>
              </w:numPr>
              <w:suppressAutoHyphens w:val="true"/>
              <w:spacing w:lineRule="auto" w:line="240" w:before="40" w:after="40"/>
              <w:ind w:hanging="142" w:left="284"/>
              <w:jc w:val="both"/>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suppressAutoHyphens w:val="true"/>
              <w:spacing w:lineRule="auto" w:line="240" w:before="40" w:after="40"/>
              <w:jc w:val="both"/>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Style w:val="961"/>
              <w:tblW w:w="566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89"/>
              <w:gridCol w:w="4876"/>
            </w:tblGrid>
            <w:tr>
              <w:trPr/>
              <w:tc>
                <w:tcPr>
                  <w:tcW w:w="789" w:type="dxa"/>
                  <w:tcBorders>
                    <w:top w:val="nil"/>
                    <w:left w:val="nil"/>
                  </w:tcBorders>
                </w:tcPr>
                <w:p>
                  <w:pPr>
                    <w:pStyle w:val="Style21"/>
                    <w:keepNext w:val="false"/>
                    <w:keepLines w:val="false"/>
                    <w:widowControl/>
                    <w:suppressAutoHyphens w:val="tru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4876" w:type="dxa"/>
                  <w:tcBorders>
                    <w:top w:val="nil"/>
                    <w:right w:val="nil"/>
                  </w:tcBorders>
                </w:tcPr>
                <w:p>
                  <w:pPr>
                    <w:pStyle w:val="Style21"/>
                    <w:keepNext w:val="true"/>
                    <w:keepLines w:val="false"/>
                    <w:widowControl/>
                    <w:suppressAutoHyphens w:val="true"/>
                    <w:spacing w:lineRule="auto" w:line="240" w:before="40" w:after="40"/>
                    <w:jc w:val="left"/>
                    <w:rPr>
                      <w:b w:val="false"/>
                      <w:sz w:val="18"/>
                      <w:szCs w:val="18"/>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suppressAutoHyphens w:val="true"/>
                    <w:spacing w:lineRule="auto" w:line="240" w:before="40" w:after="40"/>
                    <w:jc w:val="left"/>
                    <w:rPr>
                      <w:b w:val="false"/>
                      <w:i/>
                      <w:i/>
                      <w:iCs/>
                      <w:sz w:val="18"/>
                      <w:szCs w:val="18"/>
                    </w:rPr>
                  </w:pPr>
                  <w:r>
                    <w:rPr>
                      <w:rFonts w:eastAsia="Calibri" w:cs="Arial"/>
                      <w:b w:val="false"/>
                      <w:i/>
                      <w:iCs/>
                      <w:kern w:val="0"/>
                      <w:sz w:val="18"/>
                      <w:szCs w:val="18"/>
                      <w:lang w:val="ru-RU" w:eastAsia="en-US" w:bidi="ar-SA"/>
                    </w:rPr>
                    <w:t>или</w:t>
                  </w:r>
                </w:p>
                <w:p>
                  <w:pPr>
                    <w:pStyle w:val="Style21"/>
                    <w:keepNext w:val="true"/>
                    <w:keepLines w:val="false"/>
                    <w:widowControl/>
                    <w:suppressAutoHyphens w:val="true"/>
                    <w:spacing w:lineRule="auto" w:line="240" w:before="40" w:after="40"/>
                    <w:jc w:val="left"/>
                    <w:rPr>
                      <w:b w:val="false"/>
                      <w:sz w:val="18"/>
                      <w:szCs w:val="18"/>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numPr>
                      <w:ilvl w:val="0"/>
                      <w:numId w:val="18"/>
                    </w:numPr>
                    <w:suppressAutoHyphens w:val="true"/>
                    <w:spacing w:lineRule="auto" w:line="240" w:before="40" w:after="0"/>
                    <w:ind w:hanging="142" w:left="142"/>
                    <w:jc w:val="left"/>
                    <w:rPr>
                      <w:b w:val="false"/>
                      <w:sz w:val="18"/>
                      <w:szCs w:val="18"/>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numPr>
                      <w:ilvl w:val="0"/>
                      <w:numId w:val="18"/>
                    </w:numPr>
                    <w:suppressAutoHyphens w:val="true"/>
                    <w:spacing w:lineRule="auto" w:line="240" w:before="0" w:after="40"/>
                    <w:ind w:hanging="142" w:left="142"/>
                    <w:jc w:val="left"/>
                    <w:rPr>
                      <w:b w:val="false"/>
                      <w:sz w:val="18"/>
                      <w:szCs w:val="18"/>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left w:val="nil"/>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4876" w:type="dxa"/>
                  <w:tcBorders>
                    <w:right w:val="nil"/>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left w:val="nil"/>
                    <w:bottom w:val="nil"/>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4876" w:type="dxa"/>
                  <w:tcBorders>
                    <w:bottom w:val="nil"/>
                    <w:right w:val="nil"/>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оценка предпочтительности по частному критерию оценки в баллах.</w:t>
            </w:r>
          </w:p>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Шкала оценок от 0 до 5 баллов.</w:t>
            </w:r>
          </w:p>
          <w:p>
            <w:pPr>
              <w:pStyle w:val="Style21"/>
              <w:widowControl/>
              <w:suppressAutoHyphens w:val="true"/>
              <w:spacing w:lineRule="auto" w:line="240" w:before="40" w:after="40"/>
              <w:jc w:val="left"/>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078" w:type="dxa"/>
            <w:gridSpan w:val="4"/>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9016" w:type="dxa"/>
            <w:gridSpan w:val="3"/>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1"/>
              <w:widowControl/>
              <w:suppressAutoHyphens w:val="tru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1"/>
              <w:widowControl/>
              <w:suppressAutoHyphens w:val="true"/>
              <w:spacing w:lineRule="auto" w:line="240"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28"/>
          <w:headerReference w:type="first" r:id="rId29"/>
          <w:footerReference w:type="default" r:id="rId30"/>
          <w:footerReference w:type="first" r:id="rId3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91" w:name="_Ref125360420"/>
      <w:bookmarkStart w:id="392" w:name="_Toc228877733"/>
      <w:bookmarkStart w:id="393" w:name="Прил09_ОбоснованиеНМЦ"/>
      <w:bookmarkEnd w:id="393"/>
      <w:r>
        <w:rPr/>
        <w:t>Приложение № 9 – Обоснование НМЦ</w:t>
      </w:r>
      <w:bookmarkEnd w:id="391"/>
      <w:bookmarkEnd w:id="392"/>
    </w:p>
    <w:p>
      <w:pPr>
        <w:pStyle w:val="Style16"/>
        <w:spacing w:before="360" w:after="0"/>
        <w:rPr/>
      </w:pPr>
      <w:bookmarkStart w:id="394" w:name="_Toc228877734"/>
      <w:r>
        <w:rPr/>
        <w:t>Пояснения к Обоснованию НМЦ</w:t>
      </w:r>
      <w:bookmarkEnd w:id="394"/>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95" w:name="_Toc228877735"/>
      <w:bookmarkStart w:id="396" w:name="Прил10_ФормаЗаявкиНаАккредитацию"/>
      <w:bookmarkEnd w:id="396"/>
      <w:r>
        <w:rPr/>
        <w:t>Приложение № 10 – Форма Заявки на аккредитацию</w:t>
      </w:r>
      <w:bookmarkEnd w:id="395"/>
    </w:p>
    <w:p>
      <w:pPr>
        <w:pStyle w:val="Style16"/>
        <w:spacing w:before="360" w:after="0"/>
        <w:rPr/>
      </w:pPr>
      <w:bookmarkStart w:id="397" w:name="_Toc228877736"/>
      <w:r>
        <w:rPr/>
        <w:t>Пояснения к форме Заявки на аккредитацию</w:t>
      </w:r>
      <w:bookmarkEnd w:id="397"/>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8"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8"/>
      <w:r>
        <w:rPr/>
        <w:t>.</w:t>
      </w:r>
    </w:p>
    <w:p>
      <w:pPr>
        <w:pStyle w:val="Style21"/>
        <w:jc w:val="center"/>
        <w:rPr/>
      </w:pPr>
      <w:r>
        <w:rPr/>
        <w:drawing>
          <wp:inline distT="0" distB="0" distL="0" distR="0">
            <wp:extent cx="960755" cy="661035"/>
            <wp:effectExtent l="0" t="0" r="0" b="0"/>
            <wp:docPr id="5" name="_x005F_x0000_i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x005F_x0000_i4" descr=""/>
                    <pic:cNvPicPr>
                      <a:picLocks noChangeAspect="1" noChangeArrowheads="1"/>
                    </pic:cNvPicPr>
                  </pic:nvPicPr>
                  <pic:blipFill>
                    <a:blip r:embed="rId32"/>
                    <a:stretch>
                      <a:fillRect/>
                    </a:stretch>
                  </pic:blipFill>
                  <pic:spPr bwMode="auto">
                    <a:xfrm>
                      <a:off x="0" y="0"/>
                      <a:ext cx="960755" cy="661035"/>
                    </a:xfrm>
                    <a:prstGeom prst="rect">
                      <a:avLst/>
                    </a:prstGeom>
                  </pic:spPr>
                </pic:pic>
              </a:graphicData>
            </a:graphic>
          </wp:inline>
        </w:drawing>
      </w:r>
    </w:p>
    <w:p>
      <w:pPr>
        <w:pStyle w:val="Style15"/>
        <w:spacing w:before="0" w:after="0"/>
        <w:rPr/>
      </w:pPr>
      <w:bookmarkStart w:id="399" w:name="_Toc228877737"/>
      <w:bookmarkStart w:id="400" w:name="Прил11_Данные_бухотчетность"/>
      <w:r>
        <w:rPr/>
        <w:t xml:space="preserve">Приложение № 11 </w:t>
      </w:r>
      <w:bookmarkEnd w:id="400"/>
      <w:r>
        <w:rPr/>
        <w:t>– форма Данных бухгалтерской (финансовой) отчетности</w:t>
      </w:r>
      <w:bookmarkEnd w:id="399"/>
    </w:p>
    <w:p>
      <w:pPr>
        <w:pStyle w:val="Style16"/>
        <w:spacing w:before="360" w:after="0"/>
        <w:rPr/>
      </w:pPr>
      <w:bookmarkStart w:id="401" w:name="_Toc228877738"/>
      <w:r>
        <w:rPr/>
        <w:t>Пояснения к форме Данных бухгалтерской (финансовой) отчетности</w:t>
      </w:r>
      <w:bookmarkEnd w:id="401"/>
      <w:r>
        <w:rPr/>
        <w:t xml:space="preserve"> </w:t>
      </w:r>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402" w:name="_Hlk210644436"/>
      <w:bookmarkStart w:id="403" w:name="_MON_1821256687"/>
      <w:bookmarkEnd w:id="403"/>
      <w:r>
        <w:rPr/>
        <w:drawing>
          <wp:inline distT="0" distB="0" distL="0" distR="0">
            <wp:extent cx="975995" cy="637540"/>
            <wp:effectExtent l="0" t="0" r="0" b="0"/>
            <wp:docPr id="6" name="_x005F_x0000_i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x005F_x0000_i5" descr=""/>
                    <pic:cNvPicPr>
                      <a:picLocks noChangeAspect="1" noChangeArrowheads="1"/>
                    </pic:cNvPicPr>
                  </pic:nvPicPr>
                  <pic:blipFill>
                    <a:blip r:embed="rId33"/>
                    <a:stretch>
                      <a:fillRect/>
                    </a:stretch>
                  </pic:blipFill>
                  <pic:spPr bwMode="auto">
                    <a:xfrm>
                      <a:off x="0" y="0"/>
                      <a:ext cx="975995" cy="637540"/>
                    </a:xfrm>
                    <a:prstGeom prst="rect">
                      <a:avLst/>
                    </a:prstGeom>
                  </pic:spPr>
                </pic:pic>
              </a:graphicData>
            </a:graphic>
          </wp:inline>
        </w:drawing>
      </w:r>
      <w:bookmarkEnd w:id="402"/>
    </w:p>
    <w:p>
      <w:pPr>
        <w:pStyle w:val="Normal"/>
        <w:jc w:val="center"/>
        <w:rPr/>
      </w:pPr>
      <w:r>
        <w:rPr/>
      </w:r>
    </w:p>
    <w:sectPr>
      <w:headerReference w:type="default" r:id="rId34"/>
      <w:headerReference w:type="first" r:id="rId35"/>
      <w:footerReference w:type="default" r:id="rId36"/>
      <w:footerReference w:type="first" r:id="rId3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Calibri">
    <w:charset w:val="01"/>
    <w:family w:val="roman"/>
    <w:pitch w:val="variable"/>
  </w:font>
  <w:font w:name="Wingdings 3">
    <w:charset w:val="01"/>
    <w:family w:val="roman"/>
    <w:pitch w:val="variable"/>
  </w:font>
  <w:font w:name="Cantarel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21</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47</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51</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57</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69</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71</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jc w:val="both"/>
        <w:rPr/>
      </w:pPr>
      <w:r>
        <w:rPr>
          <w:rStyle w:val="Style5"/>
        </w:rPr>
        <w:footnoteRef/>
      </w:r>
      <w:r>
        <w:rPr/>
        <w:tab/>
        <w:t>https://minfin.gov.ru/ru/perfomance/tax_relations/policy/bankwarranty/</w:t>
      </w:r>
    </w:p>
  </w:footnote>
  <w:footnote w:id="11">
    <w:p>
      <w:pPr>
        <w:pStyle w:val="Style23"/>
        <w:spacing w:before="80" w:after="0"/>
        <w:ind w:hanging="567" w:left="567"/>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2"/>
  </w:num>
  <w:num w:numId="29">
    <w:abstractNumId w:val="22"/>
  </w:num>
  <w:num w:numId="30">
    <w:abstractNumId w:val="22"/>
  </w:num>
  <w:num w:numId="31">
    <w:abstractNumId w:val="22"/>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1"/>
    <w:qFormat/>
    <w:pPr>
      <w:keepNext w:val="true"/>
      <w:keepLines/>
      <w:pageBreakBefore/>
      <w:tabs>
        <w:tab w:val="clear" w:pos="708"/>
        <w:tab w:val="left" w:pos="1134" w:leader="none"/>
      </w:tabs>
      <w:spacing w:before="480" w:after="240"/>
      <w:ind w:hanging="1134" w:left="1134"/>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tabs>
        <w:tab w:val="clear" w:pos="708"/>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pPr>
      <w:keepNext w:val="true"/>
      <w:keepLines/>
      <w:spacing w:before="40" w:after="0"/>
      <w:outlineLvl w:val="2"/>
    </w:pPr>
    <w:rPr>
      <w:rFonts w:ascii="Calibri Light" w:hAnsi="Calibri Light" w:eastAsia="Arial" w:cs="Arial" w:asciiTheme="majorHAnsi" w:cstheme="majorBidi" w:eastAsiaTheme="majorEastAsia" w:hAnsiTheme="majorHAnsi"/>
      <w:color w:val="1F3763" w:themeColor="accent1" w:themeShade="7f"/>
      <w:sz w:val="24"/>
      <w:szCs w:val="24"/>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1" w:customStyle="1">
    <w:name w:val="Верхний колонтитул Знак"/>
    <w:basedOn w:val="DefaultParagraphFont"/>
    <w:uiPriority w:val="99"/>
    <w:qFormat/>
    <w:rPr/>
  </w:style>
  <w:style w:type="character" w:styleId="Style2" w:customStyle="1">
    <w:name w:val="Нижний колонтитул Знак"/>
    <w:basedOn w:val="DefaultParagraphFont"/>
    <w:uiPriority w:val="99"/>
    <w:qFormat/>
    <w:rPr/>
  </w:style>
  <w:style w:type="character" w:styleId="Style3" w:customStyle="1">
    <w:name w:val="[РГ] Инструкция для организатора"/>
    <w:basedOn w:val="DefaultParagraphFont"/>
    <w:uiPriority w:val="1"/>
    <w:qFormat/>
    <w:rPr>
      <w:i/>
      <w:iCs/>
      <w:shd w:fill="FFFF99" w:val="clear"/>
      <w:lang w:val="ru-RU"/>
    </w:rPr>
  </w:style>
  <w:style w:type="character" w:styleId="Style4" w:customStyle="1">
    <w:name w:val="Текст сноски Знак"/>
    <w:basedOn w:val="DefaultParagraphFont"/>
    <w:uiPriority w:val="99"/>
    <w:semiHidden/>
    <w:qFormat/>
    <w:rPr>
      <w:sz w:val="20"/>
      <w:szCs w:val="20"/>
    </w:rPr>
  </w:style>
  <w:style w:type="character" w:styleId="Style5">
    <w:name w:val="Символ сноски"/>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6"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7" w:customStyle="1">
    <w:name w:val="Текст примечания Знак"/>
    <w:basedOn w:val="DefaultParagraphFont"/>
    <w:link w:val="Annotationtext"/>
    <w:uiPriority w:val="99"/>
    <w:qFormat/>
    <w:rPr>
      <w:sz w:val="20"/>
      <w:szCs w:val="20"/>
    </w:rPr>
  </w:style>
  <w:style w:type="character" w:styleId="Style8" w:customStyle="1">
    <w:name w:val="Тема примечания Знак"/>
    <w:basedOn w:val="Style7"/>
    <w:link w:val="Annotationsubject"/>
    <w:uiPriority w:val="99"/>
    <w:semiHidden/>
    <w:qFormat/>
    <w:rPr>
      <w:b/>
      <w:bCs/>
      <w:sz w:val="20"/>
      <w:szCs w:val="20"/>
    </w:rPr>
  </w:style>
  <w:style w:type="character" w:styleId="Style9"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2" w:customStyle="1">
    <w:name w:val="Пункт Знак2"/>
    <w:link w:val="Style25"/>
    <w:qFormat/>
    <w:rPr>
      <w:rFonts w:eastAsia="Times New Roman" w:cs="Times New Roman"/>
      <w:szCs w:val="26"/>
      <w:lang w:eastAsia="ru-RU"/>
    </w:rPr>
  </w:style>
  <w:style w:type="character" w:styleId="1" w:customStyle="1">
    <w:name w:val="Заголовок 1 Знак"/>
    <w:basedOn w:val="DefaultParagraphFont"/>
    <w:qFormat/>
    <w:rPr>
      <w:rFonts w:ascii="Arial" w:hAnsi="Arial" w:eastAsia="Times New Roman" w:cs="Times New Roman"/>
      <w:b/>
      <w:sz w:val="40"/>
      <w:szCs w:val="26"/>
      <w:lang w:eastAsia="ru-RU"/>
    </w:rPr>
  </w:style>
  <w:style w:type="character" w:styleId="21" w:customStyle="1">
    <w:name w:val="Заголовок 2 Знак"/>
    <w:basedOn w:val="DefaultParagraphFont"/>
    <w:qFormat/>
    <w:rPr>
      <w:rFonts w:eastAsia="Times New Roman" w:cs="Times New Roman"/>
      <w:b/>
      <w:sz w:val="32"/>
      <w:szCs w:val="26"/>
      <w:lang w:eastAsia="ru-RU"/>
    </w:rPr>
  </w:style>
  <w:style w:type="character" w:styleId="3" w:customStyle="1">
    <w:name w:val="Заголовок 3 Знак"/>
    <w:basedOn w:val="DefaultParagraphFont"/>
    <w:semiHidden/>
    <w:qFormat/>
    <w:rPr>
      <w:rFonts w:ascii="Calibri Light" w:hAnsi="Calibri Light" w:eastAsia="Arial" w:cs="Arial" w:asciiTheme="majorHAnsi" w:cstheme="majorBidi" w:eastAsiaTheme="majorEastAsia" w:hAnsiTheme="majorHAnsi"/>
      <w:color w:val="1F3763" w:themeColor="accent1" w:themeShade="7f"/>
      <w:sz w:val="24"/>
      <w:szCs w:val="24"/>
    </w:rPr>
  </w:style>
  <w:style w:type="character" w:styleId="Style10"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1" w:customStyle="1">
    <w:name w:val="РГ_ЕПоЗ_а) Знак"/>
    <w:basedOn w:val="DefaultParagraphFont"/>
    <w:link w:val="Style28"/>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4">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120" w:after="0"/>
      <w:ind w:left="720" w:right="720"/>
    </w:pPr>
    <w:rPr>
      <w:i/>
    </w:rPr>
  </w:style>
  <w:style w:type="paragraph" w:styleId="EndnoteText">
    <w:name w:val="Endnote Text"/>
    <w:basedOn w:val="Normal"/>
    <w:link w:val="EndnoteTextChar"/>
    <w:uiPriority w:val="99"/>
    <w:semiHidden/>
    <w:unhideWhenUsed/>
    <w:pPr>
      <w:spacing w:lineRule="auto" w:line="240" w:before="120" w:after="0"/>
    </w:pPr>
    <w:rPr>
      <w:sz w:val="20"/>
    </w:rPr>
  </w:style>
  <w:style w:type="paragraph" w:styleId="IndexHeading">
    <w:name w:val="Index Heading"/>
    <w:basedOn w:val="Style13"/>
    <w:pPr/>
    <w:rPr/>
  </w:style>
  <w:style w:type="paragraph" w:styleId="TOCHeading">
    <w:name w:val="TOC Heading"/>
    <w:uiPriority w:val="39"/>
    <w:unhideWhenUsed/>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120" w:afterAutospacing="0" w:after="0"/>
    </w:pPr>
    <w:rPr/>
  </w:style>
  <w:style w:type="paragraph" w:styleId="Style15" w:customStyle="1">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customStyle="1">
    <w:name w:val="[РГ] Подраздел"/>
    <w:basedOn w:val="Normal"/>
    <w:next w:val="Style17"/>
    <w:qFormat/>
    <w:pPr>
      <w:keepNext w:val="true"/>
      <w:numPr>
        <w:ilvl w:val="1"/>
        <w:numId w:val="1"/>
      </w:numPr>
      <w:spacing w:before="360" w:after="0"/>
      <w:jc w:val="both"/>
      <w:outlineLvl w:val="1"/>
    </w:pPr>
    <w:rPr>
      <w:b/>
      <w:bCs/>
    </w:rPr>
  </w:style>
  <w:style w:type="paragraph" w:styleId="Style17" w:customStyle="1">
    <w:name w:val="[РГ] Пункт"/>
    <w:basedOn w:val="Normal"/>
    <w:qFormat/>
    <w:pPr>
      <w:numPr>
        <w:ilvl w:val="2"/>
        <w:numId w:val="1"/>
      </w:numPr>
      <w:jc w:val="both"/>
      <w:outlineLvl w:val="2"/>
    </w:pPr>
    <w:rPr/>
  </w:style>
  <w:style w:type="paragraph" w:styleId="Style18" w:customStyle="1">
    <w:name w:val="[РГ] Подпункт"/>
    <w:basedOn w:val="Normal"/>
    <w:qFormat/>
    <w:pPr>
      <w:numPr>
        <w:ilvl w:val="3"/>
        <w:numId w:val="1"/>
      </w:numPr>
      <w:jc w:val="both"/>
      <w:outlineLvl w:val="3"/>
    </w:pPr>
    <w:rPr/>
  </w:style>
  <w:style w:type="paragraph" w:styleId="Style19" w:customStyle="1">
    <w:name w:val="[РГ] Перечисление"/>
    <w:basedOn w:val="Normal"/>
    <w:qFormat/>
    <w:pPr>
      <w:numPr>
        <w:ilvl w:val="4"/>
        <w:numId w:val="1"/>
      </w:numPr>
      <w:jc w:val="both"/>
      <w:outlineLvl w:val="4"/>
    </w:pPr>
    <w:rPr/>
  </w:style>
  <w:style w:type="paragraph" w:styleId="Style20" w:customStyle="1">
    <w:name w:val="[РГ] Заголовок"/>
    <w:basedOn w:val="Normal"/>
    <w:next w:val="Style21"/>
    <w:qFormat/>
    <w:pPr>
      <w:keepNext w:val="true"/>
      <w:pageBreakBefore/>
      <w:spacing w:before="0" w:after="360"/>
      <w:jc w:val="both"/>
    </w:pPr>
    <w:rPr>
      <w:b/>
      <w:bCs/>
      <w:caps/>
    </w:rPr>
  </w:style>
  <w:style w:type="paragraph" w:styleId="Style21" w:customStyle="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uiPriority w:val="99"/>
    <w:unhideWhenUsed/>
    <w:pPr>
      <w:spacing w:before="0" w:after="120"/>
      <w:jc w:val="center"/>
    </w:pPr>
    <w:rPr/>
  </w:style>
  <w:style w:type="paragraph" w:styleId="Footer">
    <w:name w:val="Footer"/>
    <w:basedOn w:val="Normal"/>
    <w:link w:val="Style2"/>
    <w:unhideWhenUsed/>
    <w:pPr>
      <w:jc w:val="right"/>
    </w:pPr>
    <w:rPr/>
  </w:style>
  <w:style w:type="paragraph" w:styleId="FootnoteText">
    <w:name w:val="Footnote Text"/>
    <w:basedOn w:val="Normal"/>
    <w:link w:val="Style4"/>
    <w:uiPriority w:val="99"/>
    <w:semiHidden/>
    <w:unhideWhenUsed/>
    <w:pPr>
      <w:spacing w:before="0" w:after="0"/>
    </w:pPr>
    <w:rPr>
      <w:sz w:val="20"/>
      <w:szCs w:val="20"/>
    </w:rPr>
  </w:style>
  <w:style w:type="paragraph" w:styleId="Style23"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7"/>
    <w:uiPriority w:val="99"/>
    <w:unhideWhenUsed/>
    <w:qFormat/>
    <w:pPr/>
    <w:rPr>
      <w:sz w:val="20"/>
      <w:szCs w:val="20"/>
    </w:rPr>
  </w:style>
  <w:style w:type="paragraph" w:styleId="Annotationsubject">
    <w:name w:val="annotation subject"/>
    <w:basedOn w:val="Annotationtext"/>
    <w:next w:val="Annotationtext"/>
    <w:link w:val="Style8"/>
    <w:uiPriority w:val="99"/>
    <w:semiHidden/>
    <w:unhideWhenUsed/>
    <w:qFormat/>
    <w:pPr/>
    <w:rPr>
      <w:b/>
      <w:bCs/>
    </w:rPr>
  </w:style>
  <w:style w:type="paragraph" w:styleId="Style24" w:customStyle="1">
    <w:name w:val="[РГ] Альтернатива / Дополнение"/>
    <w:basedOn w:val="Style21"/>
    <w:next w:val="Style21"/>
    <w:qFormat/>
    <w:pPr/>
    <w:rPr>
      <w:i/>
      <w:shd w:fill="CCECFF" w:val="clea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left="720"/>
      <w:contextualSpacing/>
    </w:pPr>
    <w:rPr/>
  </w:style>
  <w:style w:type="paragraph" w:styleId="Style25" w:customStyle="1">
    <w:name w:val="Пункт"/>
    <w:basedOn w:val="Normal"/>
    <w:link w:val="2"/>
    <w:qFormat/>
    <w:pPr>
      <w:numPr>
        <w:ilvl w:val="2"/>
        <w:numId w:val="9"/>
      </w:numPr>
      <w:jc w:val="both"/>
    </w:pPr>
    <w:rPr>
      <w:rFonts w:eastAsia="Times New Roman" w:cs="Times New Roman"/>
      <w:szCs w:val="26"/>
      <w:lang w:eastAsia="ru-RU"/>
    </w:rPr>
  </w:style>
  <w:style w:type="paragraph" w:styleId="Style26" w:customStyle="1">
    <w:name w:val="Подпункт"/>
    <w:basedOn w:val="Style25"/>
    <w:qFormat/>
    <w:pPr>
      <w:numPr>
        <w:ilvl w:val="3"/>
      </w:numPr>
      <w:tabs>
        <w:tab w:val="clear" w:pos="708"/>
      </w:tabs>
      <w:ind w:hanging="360" w:left="2880"/>
    </w:pPr>
    <w:rPr/>
  </w:style>
  <w:style w:type="paragraph" w:styleId="Style27" w:customStyle="1">
    <w:name w:val="Подподпункт"/>
    <w:basedOn w:val="Style26"/>
    <w:qFormat/>
    <w:pPr>
      <w:numPr>
        <w:ilvl w:val="4"/>
      </w:numPr>
      <w:ind w:hanging="360" w:left="3600"/>
    </w:pPr>
    <w:rPr/>
  </w:style>
  <w:style w:type="paragraph" w:styleId="BalloonText">
    <w:name w:val="Balloon Text"/>
    <w:basedOn w:val="Normal"/>
    <w:link w:val="Style10"/>
    <w:uiPriority w:val="99"/>
    <w:semiHidden/>
    <w:unhideWhenUsed/>
    <w:qFormat/>
    <w:pPr>
      <w:spacing w:before="0" w:after="0"/>
    </w:pPr>
    <w:rPr>
      <w:rFonts w:ascii="Segoe UI" w:hAnsi="Segoe UI" w:cs="Segoe UI"/>
      <w:sz w:val="18"/>
      <w:szCs w:val="18"/>
    </w:rPr>
  </w:style>
  <w:style w:type="paragraph" w:styleId="11" w:customStyle="1">
    <w:name w:val="РГ_ЕПоЗ_1."/>
    <w:basedOn w:val="Normal"/>
    <w:qFormat/>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8" w:customStyle="1">
    <w:name w:val="РГ_ЕПоЗ_а)"/>
    <w:basedOn w:val="ListParagraph"/>
    <w:link w:val="Style11"/>
    <w:qFormat/>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pPr>
      <w:numPr>
        <w:ilvl w:val="2"/>
        <w:numId w:val="15"/>
      </w:numPr>
      <w:tabs>
        <w:tab w:val="clear" w:pos="708"/>
        <w:tab w:val="left" w:pos="1134" w:leader="none"/>
      </w:tabs>
      <w:jc w:val="both"/>
    </w:pPr>
    <w:rPr>
      <w:rFonts w:eastAsia="Times New Roman" w:cs="Times New Roman"/>
      <w:sz w:val="28"/>
      <w:szCs w:val="28"/>
      <w:lang w:eastAsia="ru-RU"/>
    </w:rPr>
  </w:style>
  <w:style w:type="paragraph" w:styleId="31" w:customStyle="1">
    <w:name w:val="УРОВЕНЬ_Абзац_тип3"/>
    <w:qFormat/>
    <w:pPr>
      <w:keepNext w:val="false"/>
      <w:keepLines w:val="false"/>
      <w:pageBreakBefore w:val="false"/>
      <w:widowControl/>
      <w:numPr>
        <w:ilvl w:val="0"/>
        <w:numId w:val="0"/>
      </w:numPr>
      <w:shd w:val="nil" w:color="000000"/>
      <w:tabs>
        <w:tab w:val="clear" w:pos="708"/>
        <w:tab w:val="left" w:pos="0" w:leader="none"/>
      </w:tabs>
      <w:suppressAutoHyphens w:val="true"/>
      <w:bidi w:val="0"/>
      <w:spacing w:lineRule="exact" w:line="360" w:beforeAutospacing="0" w:before="0" w:afterAutospacing="0" w:after="0"/>
      <w:ind w:hanging="0" w:left="0" w:right="0"/>
      <w:jc w:val="both"/>
    </w:pPr>
    <w:rPr>
      <w:rFonts w:ascii="Calibri" w:hAnsi="Calibri" w:eastAsia="Calibri" w:cs="Arial" w:cstheme="minorBidi" w:eastAsiaTheme="minorHAnsi"/>
      <w:b w:val="false"/>
      <w:bCs w:val="false"/>
      <w:i w:val="false"/>
      <w:iCs w:val="false"/>
      <w:caps w:val="false"/>
      <w:smallCaps w:val="false"/>
      <w:strike w:val="false"/>
      <w:dstrike w:val="false"/>
      <w:vanish w:val="false"/>
      <w:color w:val="auto"/>
      <w:spacing w:val="0"/>
      <w:kern w:val="0"/>
      <w:position w:val="0"/>
      <w:sz w:val="22"/>
      <w:sz w:val="22"/>
      <w:szCs w:val="22"/>
      <w:u w:val="none"/>
      <w:vertAlign w:val="baseline"/>
      <w:lang w:val="ru-RU" w:eastAsia="en-US" w:bidi="ar-SA"/>
      <w14:ligatures w14:val="none"/>
    </w:rPr>
  </w:style>
  <w:style w:type="paragraph" w:styleId="22" w:customStyle="1">
    <w:name w:val="УРОВЕНЬ_Абзац_тип2"/>
    <w:qFormat/>
    <w:pPr>
      <w:keepNext w:val="false"/>
      <w:keepLines w:val="false"/>
      <w:pageBreakBefore w:val="false"/>
      <w:widowControl/>
      <w:numPr>
        <w:ilvl w:val="0"/>
        <w:numId w:val="0"/>
      </w:numPr>
      <w:shd w:val="nil" w:color="000000"/>
      <w:tabs>
        <w:tab w:val="clear" w:pos="708"/>
        <w:tab w:val="left" w:pos="0" w:leader="none"/>
      </w:tabs>
      <w:suppressAutoHyphens w:val="true"/>
      <w:bidi w:val="0"/>
      <w:spacing w:lineRule="exact" w:line="360" w:beforeAutospacing="0" w:before="0" w:afterAutospacing="0" w:after="0"/>
      <w:ind w:hanging="0" w:left="720" w:right="0"/>
      <w:jc w:val="both"/>
    </w:pPr>
    <w:rPr>
      <w:rFonts w:ascii="Times New Roman" w:hAnsi="Times New Roman" w:eastAsia="Calibri" w:cs="Times New Roman" w:eastAsiaTheme="minorHAnsi"/>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14:ligatures w14:val="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paragraph" w:styleId="ConsPlusNormal">
    <w:name w:val="ConsPlusNormal"/>
    <w:qFormat/>
    <w:pPr>
      <w:keepNext w:val="false"/>
      <w:keepLines w:val="false"/>
      <w:pageBreakBefore w:val="false"/>
      <w:widowControl w:val="false"/>
      <w:shd w:val="nil" w:color="000000"/>
      <w:suppressAutoHyphens w:val="true"/>
      <w:bidi w:val="0"/>
      <w:spacing w:lineRule="auto" w:line="240" w:beforeAutospacing="0" w:before="0" w:afterAutospacing="0" w:after="0"/>
      <w:ind w:hanging="0" w:left="0" w:right="0"/>
      <w:jc w:val="left"/>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4"/>
      <w:sz w:val="24"/>
      <w:szCs w:val="20"/>
      <w:u w:val="none"/>
      <w:vertAlign w:val="baseline"/>
      <w:lang w:val="en-US" w:eastAsia="zh-CN" w:bidi="ar-SA"/>
      <w14:ligatures w14:val="none"/>
    </w:rPr>
  </w:style>
  <w:style w:type="numbering" w:styleId="NoList" w:default="1">
    <w:name w:val="No List"/>
    <w:uiPriority w:val="99"/>
    <w:semiHidden/>
    <w:unhideWhenUsed/>
    <w:qFormat/>
  </w:style>
  <w:style w:type="table" w:styleId="49">
    <w:name w:val="Table Grid Light"/>
    <w:basedOn w:val="93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93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51">
    <w:name w:val="Plain Table 2"/>
    <w:basedOn w:val="93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52">
    <w:name w:val="Plain Table 3"/>
    <w:basedOn w:val="932"/>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53">
    <w:name w:val="Plain Table 4"/>
    <w:basedOn w:val="932"/>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54">
    <w:name w:val="Plain Table 5"/>
    <w:basedOn w:val="932"/>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55">
    <w:name w:val="Grid Table 1 Light"/>
    <w:basedOn w:val="932"/>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56">
    <w:name w:val="Grid Table 1 Light - Accent 1"/>
    <w:basedOn w:val="93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57">
    <w:name w:val="Grid Table 1 Light - Accent 2"/>
    <w:basedOn w:val="93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58">
    <w:name w:val="Grid Table 1 Light - Accent 3"/>
    <w:basedOn w:val="93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59">
    <w:name w:val="Grid Table 1 Light - Accent 4"/>
    <w:basedOn w:val="93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60">
    <w:name w:val="Grid Table 1 Light - Accent 5"/>
    <w:basedOn w:val="93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61">
    <w:name w:val="Grid Table 1 Light - Accent 6"/>
    <w:basedOn w:val="93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62">
    <w:name w:val="Grid Table 2"/>
    <w:basedOn w:val="93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63">
    <w:name w:val="Grid Table 2 - Accent 1"/>
    <w:basedOn w:val="93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64">
    <w:name w:val="Grid Table 2 - Accent 2"/>
    <w:basedOn w:val="93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65">
    <w:name w:val="Grid Table 2 - Accent 3"/>
    <w:basedOn w:val="93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66">
    <w:name w:val="Grid Table 2 - Accent 4"/>
    <w:basedOn w:val="93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67">
    <w:name w:val="Grid Table 2 - Accent 5"/>
    <w:basedOn w:val="93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68">
    <w:name w:val="Grid Table 2 - Accent 6"/>
    <w:basedOn w:val="93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69">
    <w:name w:val="Grid Table 3"/>
    <w:basedOn w:val="93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0">
    <w:name w:val="Grid Table 3 - Accent 1"/>
    <w:basedOn w:val="93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1">
    <w:name w:val="Grid Table 3 - Accent 2"/>
    <w:basedOn w:val="93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
    <w:name w:val="Grid Table 3 - Accent 3"/>
    <w:basedOn w:val="93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
    <w:name w:val="Grid Table 3 - Accent 4"/>
    <w:basedOn w:val="93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4">
    <w:name w:val="Grid Table 3 - Accent 5"/>
    <w:basedOn w:val="93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5">
    <w:name w:val="Grid Table 3 - Accent 6"/>
    <w:basedOn w:val="93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6">
    <w:name w:val="Grid Table 4"/>
    <w:basedOn w:val="932"/>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77">
    <w:name w:val="Grid Table 4 - Accent 1"/>
    <w:basedOn w:val="932"/>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AE3F3" w:themeFill="accent1" w:themeFillTint="32"/>
      </w:tcPr>
    </w:tblStylePr>
    <w:tblStylePr w:type="band1Vert">
      <w:rPr>
        <w:color w:val="404040"/>
        <w:sz w:val="22"/>
      </w:rPr>
      <w:tblPr/>
      <w:tcPr>
        <w:shd w:val="clear" w:color="FFFFFF" w:fill="DAE3F3"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78">
    <w:name w:val="Grid Table 4 - Accent 2"/>
    <w:basedOn w:val="93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79">
    <w:name w:val="Grid Table 4 - Accent 3"/>
    <w:basedOn w:val="932"/>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80">
    <w:name w:val="Grid Table 4 - Accent 4"/>
    <w:basedOn w:val="932"/>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81">
    <w:name w:val="Grid Table 4 - Accent 5"/>
    <w:basedOn w:val="932"/>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82">
    <w:name w:val="Grid Table 4 - Accent 6"/>
    <w:basedOn w:val="932"/>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83">
    <w:name w:val="Grid Table 5 Dark"/>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84">
    <w:name w:val="Grid Table 5 Dark- Accent 1"/>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color w:val="FFFFFF"/>
        <w:sz w:val="22"/>
      </w:rPr>
      <w:tblPr/>
      <w:tcPr>
        <w:shd w:val="clear" w:color="FFFFFF" w:fill="4472C4" w:themeFill="accent1"/>
      </w:tcPr>
    </w:tblStylePr>
    <w:tblStylePr w:type="firstRow">
      <w:rPr>
        <w:b/>
        <w:color w:val="FFFFFF"/>
        <w:sz w:val="22"/>
      </w:rPr>
      <w:tblPr/>
      <w:tcPr>
        <w:shd w:val="clear" w:color="FFFFFF" w:fill="4472C4" w:themeFill="accent1"/>
      </w:tcPr>
    </w:tblStylePr>
    <w:tblStylePr w:type="lastCol">
      <w:rPr>
        <w:b/>
        <w:color w:val="FFFFFF"/>
        <w:sz w:val="22"/>
      </w:rPr>
      <w:tblPr/>
      <w:tcPr>
        <w:shd w:val="clear" w:color="FFFFFF" w:fill="4472C4" w:themeFill="accent1"/>
      </w:tcPr>
    </w:tblStylePr>
    <w:tblStylePr w:type="lastRow">
      <w:rPr>
        <w:b/>
        <w:color w:val="FFFFFF"/>
        <w:sz w:val="22"/>
      </w:rPr>
      <w:tblPr/>
      <w:tcPr>
        <w:tcBorders>
          <w:top w:val="single" w:color="000000" w:themeColor="light1" w:sz="4" w:space="0"/>
        </w:tcBorders>
        <w:shd w:val="clear" w:color="FFFFFF" w:fill="4472C4" w:themeFill="accent1"/>
      </w:tcPr>
    </w:tblStylePr>
  </w:style>
  <w:style w:type="table" w:styleId="85">
    <w:name w:val="Grid Table 5 Dark - Accent 2"/>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color w:val="FFFFFF"/>
        <w:sz w:val="22"/>
      </w:rPr>
      <w:tblPr/>
      <w:tcPr>
        <w:shd w:val="clear" w:color="FFFFFF" w:fill="ED7D31" w:themeFill="accent2"/>
      </w:tcPr>
    </w:tblStylePr>
    <w:tblStylePr w:type="firstRow">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lastRow">
      <w:rPr>
        <w:b/>
        <w:color w:val="FFFFFF"/>
        <w:sz w:val="22"/>
      </w:rPr>
      <w:tblPr/>
      <w:tcPr>
        <w:tcBorders>
          <w:top w:val="single" w:color="000000" w:themeColor="light1" w:sz="4" w:space="0"/>
        </w:tcBorders>
        <w:shd w:val="clear" w:color="FFFFFF" w:fill="ED7D31" w:themeFill="accent2"/>
      </w:tcPr>
    </w:tblStylePr>
  </w:style>
  <w:style w:type="table" w:styleId="86">
    <w:name w:val="Grid Table 5 Dark - Accent 3"/>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color w:val="FFFFFF"/>
        <w:sz w:val="22"/>
      </w:rPr>
      <w:tblPr/>
      <w:tcPr>
        <w:shd w:val="clear" w:color="FFFFFF" w:fill="A5A5A5" w:themeFill="accent3"/>
      </w:tcPr>
    </w:tblStylePr>
    <w:tblStylePr w:type="firstRow">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lastRow">
      <w:rPr>
        <w:b/>
        <w:color w:val="FFFFFF"/>
        <w:sz w:val="22"/>
      </w:rPr>
      <w:tblPr/>
      <w:tcPr>
        <w:tcBorders>
          <w:top w:val="single" w:color="000000" w:themeColor="light1" w:sz="4" w:space="0"/>
        </w:tcBorders>
        <w:shd w:val="clear" w:color="FFFFFF" w:fill="A5A5A5" w:themeFill="accent3"/>
      </w:tcPr>
    </w:tblStylePr>
  </w:style>
  <w:style w:type="table" w:styleId="87">
    <w:name w:val="Grid Table 5 Dark- Accent 4"/>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color w:val="FFFFFF"/>
        <w:sz w:val="22"/>
      </w:rPr>
      <w:tblPr/>
      <w:tcPr>
        <w:shd w:val="clear" w:color="FFFFFF" w:fill="FFC000" w:themeFill="accent4"/>
      </w:tcPr>
    </w:tblStylePr>
    <w:tblStylePr w:type="firstRow">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lastRow">
      <w:rPr>
        <w:b/>
        <w:color w:val="FFFFFF"/>
        <w:sz w:val="22"/>
      </w:rPr>
      <w:tblPr/>
      <w:tcPr>
        <w:tcBorders>
          <w:top w:val="single" w:color="000000" w:themeColor="light1" w:sz="4" w:space="0"/>
        </w:tcBorders>
        <w:shd w:val="clear" w:color="FFFFFF" w:fill="FFC000" w:themeFill="accent4"/>
      </w:tcPr>
    </w:tblStylePr>
  </w:style>
  <w:style w:type="table" w:styleId="88">
    <w:name w:val="Grid Table 5 Dark - Accent 5"/>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color w:val="FFFFFF"/>
        <w:sz w:val="22"/>
      </w:rPr>
      <w:tblPr/>
      <w:tcPr>
        <w:shd w:val="clear" w:color="FFFFFF" w:fill="5B9BD5" w:themeFill="accent5"/>
      </w:tcPr>
    </w:tblStylePr>
    <w:tblStylePr w:type="firstRow">
      <w:rPr>
        <w:b/>
        <w:color w:val="FFFFFF"/>
        <w:sz w:val="22"/>
      </w:rPr>
      <w:tblPr/>
      <w:tcPr>
        <w:shd w:val="clear" w:color="FFFFFF" w:fill="5B9BD5" w:themeFill="accent5"/>
      </w:tcPr>
    </w:tblStylePr>
    <w:tblStylePr w:type="lastCol">
      <w:rPr>
        <w:b/>
        <w:color w:val="FFFFFF"/>
        <w:sz w:val="22"/>
      </w:rPr>
      <w:tblPr/>
      <w:tcPr>
        <w:shd w:val="clear" w:color="FFFFFF" w:fill="5B9BD5" w:themeFill="accent5"/>
      </w:tcPr>
    </w:tblStylePr>
    <w:tblStylePr w:type="lastRow">
      <w:rPr>
        <w:b/>
        <w:color w:val="FFFFFF"/>
        <w:sz w:val="22"/>
      </w:rPr>
      <w:tblPr/>
      <w:tcPr>
        <w:tcBorders>
          <w:top w:val="single" w:color="000000" w:themeColor="light1" w:sz="4" w:space="0"/>
        </w:tcBorders>
        <w:shd w:val="clear" w:color="FFFFFF" w:fill="5B9BD5" w:themeFill="accent5"/>
      </w:tcPr>
    </w:tblStylePr>
  </w:style>
  <w:style w:type="table" w:styleId="89">
    <w:name w:val="Grid Table 5 Dark - Accent 6"/>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color w:val="FFFFFF"/>
        <w:sz w:val="22"/>
      </w:rPr>
      <w:tblPr/>
      <w:tcPr>
        <w:shd w:val="clear" w:color="FFFFFF" w:fill="70AD47" w:themeFill="accent6"/>
      </w:tcPr>
    </w:tblStylePr>
    <w:tblStylePr w:type="firstRow">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lastRow">
      <w:rPr>
        <w:b/>
        <w:color w:val="FFFFFF"/>
        <w:sz w:val="22"/>
      </w:rPr>
      <w:tblPr/>
      <w:tcPr>
        <w:tcBorders>
          <w:top w:val="single" w:color="000000" w:themeColor="light1" w:sz="4" w:space="0"/>
        </w:tcBorders>
        <w:shd w:val="clear" w:color="FFFFFF" w:fill="70AD47" w:themeFill="accent6"/>
      </w:tcPr>
    </w:tblStylePr>
  </w:style>
  <w:style w:type="table" w:styleId="90">
    <w:name w:val="Grid Table 6 Colorful"/>
    <w:basedOn w:val="932"/>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91">
    <w:name w:val="Grid Table 6 Colorful - Accent 1"/>
    <w:basedOn w:val="932"/>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404040"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404040" w:themeColor="accent1" w:themeTint="80" w:themeShade="95"/>
        <w:sz w:val="22"/>
      </w:rPr>
      <w:tblPr/>
    </w:tblStylePr>
  </w:style>
  <w:style w:type="table" w:styleId="92">
    <w:name w:val="Grid Table 6 Colorful - Accent 2"/>
    <w:basedOn w:val="93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93">
    <w:name w:val="Grid Table 6 Colorful - Accent 3"/>
    <w:basedOn w:val="932"/>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94">
    <w:name w:val="Grid Table 6 Colorful - Accent 4"/>
    <w:basedOn w:val="93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95">
    <w:name w:val="Grid Table 6 Colorful - Accent 5"/>
    <w:basedOn w:val="932"/>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96">
    <w:name w:val="Grid Table 6 Colorful - Accent 6"/>
    <w:basedOn w:val="932"/>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97">
    <w:name w:val="Grid Table 7 Colorful"/>
    <w:basedOn w:val="932"/>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b/>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b/>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style>
  <w:style w:type="table" w:styleId="98">
    <w:name w:val="Grid Table 7 Colorful - Accent 1"/>
    <w:basedOn w:val="932"/>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left w:val="none"/>
          <w:bottom w:val="none"/>
          <w:right w:val="single" w:color="000000" w:themeColor="accent1" w:sz="4" w:space="0"/>
        </w:tcBorders>
        <w:shd w:color="FFFFFF"/>
      </w:tcPr>
    </w:tblStylePr>
    <w:tblStylePr w:type="firstRow">
      <w:rPr>
        <w:b/>
        <w:color w:val="3664A9" w:themeColor="accent1" w:themeTint="80"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3664A9" w:themeColor="accent1" w:themeTint="80" w:themeShade="95"/>
        <w:sz w:val="22"/>
      </w:rPr>
      <w:tblPr/>
      <w:tcPr>
        <w:tcBorders>
          <w:top w:val="none"/>
          <w:left w:val="single" w:color="000000" w:themeColor="accent1" w:sz="4" w:space="0"/>
          <w:bottom w:val="none"/>
          <w:right w:val="none"/>
        </w:tcBorders>
        <w:shd w:color="FFFFFF"/>
      </w:tcPr>
    </w:tblStylePr>
    <w:tblStylePr w:type="lastRow">
      <w:rPr>
        <w:b/>
        <w:color w:val="3664A9" w:themeColor="accent1" w:themeTint="80" w:themeShade="95"/>
        <w:sz w:val="22"/>
      </w:rPr>
      <w:tblPr/>
      <w:tcPr>
        <w:tcBorders>
          <w:top w:val="single" w:color="000000" w:themeColor="accent1" w:sz="4" w:space="0"/>
          <w:left w:val="none"/>
          <w:bottom w:val="none"/>
          <w:right w:val="none"/>
        </w:tcBorders>
        <w:shd w:val="clear" w:color="FFFFFF" w:fill="FFFFFF" w:themeFill="light1"/>
      </w:tcPr>
    </w:tblStylePr>
  </w:style>
  <w:style w:type="table" w:styleId="99">
    <w:name w:val="Grid Table 7 Colorful - Accent 2"/>
    <w:basedOn w:val="93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b/>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b/>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style>
  <w:style w:type="table" w:styleId="100">
    <w:name w:val="Grid Table 7 Colorful - Accent 3"/>
    <w:basedOn w:val="932"/>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left w:val="none"/>
          <w:bottom w:val="none"/>
          <w:right w:val="single" w:color="000000" w:themeColor="accent3" w:sz="4" w:space="0"/>
        </w:tcBorders>
        <w:shd w:color="FFFFFF"/>
      </w:tcPr>
    </w:tblStylePr>
    <w:tblStylePr w:type="firstRow">
      <w:rPr>
        <w:b/>
        <w:color w:val="606060" w:themeColor="accent3" w:themeTint="fe"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606060" w:themeColor="accent3" w:themeTint="fe" w:themeShade="95"/>
        <w:sz w:val="22"/>
      </w:rPr>
      <w:tblPr/>
      <w:tcPr>
        <w:tcBorders>
          <w:top w:val="none"/>
          <w:left w:val="single" w:color="000000" w:themeColor="accent3" w:sz="4" w:space="0"/>
          <w:bottom w:val="none"/>
          <w:right w:val="none"/>
        </w:tcBorders>
        <w:shd w:color="FFFFFF"/>
      </w:tcPr>
    </w:tblStylePr>
    <w:tblStylePr w:type="lastRow">
      <w:rPr>
        <w:b/>
        <w:color w:val="606060" w:themeColor="accent3" w:themeTint="fe" w:themeShade="95"/>
        <w:sz w:val="22"/>
      </w:rPr>
      <w:tblPr/>
      <w:tcPr>
        <w:tcBorders>
          <w:top w:val="single" w:color="000000" w:themeColor="accent3" w:sz="4" w:space="0"/>
          <w:left w:val="none"/>
          <w:bottom w:val="none"/>
          <w:right w:val="none"/>
        </w:tcBorders>
        <w:shd w:val="clear" w:color="FFFFFF" w:fill="FFFFFF" w:themeFill="light1"/>
      </w:tcPr>
    </w:tblStylePr>
  </w:style>
  <w:style w:type="table" w:styleId="101">
    <w:name w:val="Grid Table 7 Colorful - Accent 4"/>
    <w:basedOn w:val="932"/>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b/>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b/>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style>
  <w:style w:type="table" w:styleId="102">
    <w:name w:val="Grid Table 7 Colorful - Accent 5"/>
    <w:basedOn w:val="932"/>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left w:val="none"/>
          <w:bottom w:val="none"/>
          <w:right w:val="single" w:color="000000" w:themeColor="accent5" w:sz="4" w:space="0"/>
        </w:tcBorders>
        <w:shd w:color="FFFFFF"/>
      </w:tcPr>
    </w:tblStylePr>
    <w:tblStylePr w:type="firstRow">
      <w:rPr>
        <w:b/>
        <w:color w:val="245D8D" w:themeColor="accent5"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245D8D" w:themeColor="accent5" w:themeShade="95"/>
        <w:sz w:val="22"/>
      </w:rPr>
      <w:tblPr/>
      <w:tcPr>
        <w:tcBorders>
          <w:top w:val="none"/>
          <w:left w:val="single" w:color="000000" w:themeColor="accent5" w:sz="4" w:space="0"/>
          <w:bottom w:val="none"/>
          <w:right w:val="none"/>
        </w:tcBorders>
        <w:shd w:color="FFFFFF"/>
      </w:tcPr>
    </w:tblStylePr>
    <w:tblStylePr w:type="lastRow">
      <w:rPr>
        <w:b/>
        <w:color w:val="245D8D" w:themeColor="accent5" w:themeShade="95"/>
        <w:sz w:val="22"/>
      </w:rPr>
      <w:tblPr/>
      <w:tcPr>
        <w:tcBorders>
          <w:top w:val="single" w:color="000000" w:themeColor="accent5" w:sz="4" w:space="0"/>
          <w:left w:val="none"/>
          <w:bottom w:val="none"/>
          <w:right w:val="none"/>
        </w:tcBorders>
        <w:shd w:val="clear" w:color="FFFFFF" w:fill="FFFFFF" w:themeFill="light1"/>
      </w:tcPr>
    </w:tblStylePr>
  </w:style>
  <w:style w:type="table" w:styleId="103">
    <w:name w:val="Grid Table 7 Colorful - Accent 6"/>
    <w:basedOn w:val="932"/>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left w:val="none"/>
          <w:bottom w:val="none"/>
          <w:right w:val="single" w:color="000000" w:themeColor="accent6" w:sz="4" w:space="0"/>
        </w:tcBorders>
        <w:shd w:color="FFFFFF"/>
      </w:tcPr>
    </w:tblStylePr>
    <w:tblStylePr w:type="firstRow">
      <w:rPr>
        <w:b/>
        <w:color w:val="426429" w:themeColor="accent6"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426429" w:themeColor="accent6" w:themeShade="95"/>
        <w:sz w:val="22"/>
      </w:rPr>
      <w:tblPr/>
      <w:tcPr>
        <w:tcBorders>
          <w:top w:val="none"/>
          <w:left w:val="single" w:color="000000" w:themeColor="accent6" w:sz="4" w:space="0"/>
          <w:bottom w:val="none"/>
          <w:right w:val="none"/>
        </w:tcBorders>
        <w:shd w:color="FFFFFF"/>
      </w:tcPr>
    </w:tblStylePr>
    <w:tblStylePr w:type="lastRow">
      <w:rPr>
        <w:b/>
        <w:color w:val="426429" w:themeColor="accent6" w:themeShade="95"/>
        <w:sz w:val="22"/>
      </w:rPr>
      <w:tblPr/>
      <w:tcPr>
        <w:tcBorders>
          <w:top w:val="single" w:color="000000" w:themeColor="accent6" w:sz="4" w:space="0"/>
          <w:left w:val="none"/>
          <w:bottom w:val="none"/>
          <w:right w:val="none"/>
        </w:tcBorders>
        <w:shd w:val="clear" w:color="FFFFFF" w:fill="FFFFFF" w:themeFill="light1"/>
      </w:tcPr>
    </w:tblStylePr>
  </w:style>
  <w:style w:type="table" w:styleId="104">
    <w:name w:val="List Table 1 Light"/>
    <w:basedOn w:val="932"/>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932"/>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932"/>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932"/>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932"/>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932"/>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932"/>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93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12">
    <w:name w:val="List Table 2 - Accent 1"/>
    <w:basedOn w:val="932"/>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13">
    <w:name w:val="List Table 2 - Accent 2"/>
    <w:basedOn w:val="93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14">
    <w:name w:val="List Table 2 - Accent 3"/>
    <w:basedOn w:val="932"/>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15">
    <w:name w:val="List Table 2 - Accent 4"/>
    <w:basedOn w:val="932"/>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16">
    <w:name w:val="List Table 2 - Accent 5"/>
    <w:basedOn w:val="932"/>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17">
    <w:name w:val="List Table 2 - Accent 6"/>
    <w:basedOn w:val="932"/>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18">
    <w:name w:val="List Table 3"/>
    <w:basedOn w:val="93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19">
    <w:name w:val="List Table 3 - Accent 1"/>
    <w:basedOn w:val="932"/>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20">
    <w:name w:val="List Table 3 - Accent 2"/>
    <w:basedOn w:val="93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4B185" w:themeFill="accent2" w:themeFillTint="97"/>
      </w:tcPr>
    </w:tblStylePr>
    <w:tblStylePr w:type="lastCol">
      <w:rPr>
        <w:b/>
        <w:color w:val="404040"/>
      </w:rPr>
      <w:tblPr/>
    </w:tblStylePr>
    <w:tblStylePr w:type="lastRow">
      <w:rPr>
        <w:b/>
        <w:color w:val="404040"/>
      </w:rPr>
      <w:tblPr/>
    </w:tblStylePr>
  </w:style>
  <w:style w:type="table" w:styleId="121">
    <w:name w:val="List Table 3 - Accent 3"/>
    <w:basedOn w:val="932"/>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9C9C9" w:themeFill="accent3" w:themeFillTint="98"/>
      </w:tcPr>
    </w:tblStylePr>
    <w:tblStylePr w:type="lastCol">
      <w:rPr>
        <w:b/>
        <w:color w:val="404040"/>
      </w:rPr>
      <w:tblPr/>
    </w:tblStylePr>
    <w:tblStylePr w:type="lastRow">
      <w:rPr>
        <w:b/>
        <w:color w:val="404040"/>
      </w:rPr>
      <w:tblPr/>
    </w:tblStylePr>
  </w:style>
  <w:style w:type="table" w:styleId="122">
    <w:name w:val="List Table 3 - Accent 4"/>
    <w:basedOn w:val="93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D864" w:themeFill="accent4" w:themeFillTint="9a"/>
      </w:tcPr>
    </w:tblStylePr>
    <w:tblStylePr w:type="lastCol">
      <w:rPr>
        <w:b/>
        <w:color w:val="404040"/>
      </w:rPr>
      <w:tblPr/>
    </w:tblStylePr>
    <w:tblStylePr w:type="lastRow">
      <w:rPr>
        <w:b/>
        <w:color w:val="404040"/>
      </w:rPr>
      <w:tblPr/>
    </w:tblStylePr>
  </w:style>
  <w:style w:type="table" w:styleId="123">
    <w:name w:val="List Table 3 - Accent 5"/>
    <w:basedOn w:val="932"/>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9CC4E5" w:themeFill="accent5" w:themeFillTint="9a"/>
      </w:tcPr>
    </w:tblStylePr>
    <w:tblStylePr w:type="lastCol">
      <w:rPr>
        <w:b/>
        <w:color w:val="404040"/>
      </w:rPr>
      <w:tblPr/>
    </w:tblStylePr>
    <w:tblStylePr w:type="lastRow">
      <w:rPr>
        <w:b/>
        <w:color w:val="404040"/>
      </w:rPr>
      <w:tblPr/>
    </w:tblStylePr>
  </w:style>
  <w:style w:type="table" w:styleId="124">
    <w:name w:val="List Table 3 - Accent 6"/>
    <w:basedOn w:val="932"/>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AAD08F" w:themeFill="accent6" w:themeFillTint="98"/>
      </w:tcPr>
    </w:tblStylePr>
    <w:tblStylePr w:type="lastCol">
      <w:rPr>
        <w:b/>
        <w:color w:val="404040"/>
      </w:rPr>
      <w:tblPr/>
    </w:tblStylePr>
    <w:tblStylePr w:type="lastRow">
      <w:rPr>
        <w:b/>
        <w:color w:val="404040"/>
      </w:rPr>
      <w:tblPr/>
    </w:tblStylePr>
  </w:style>
  <w:style w:type="table" w:styleId="125">
    <w:name w:val="List Table 4"/>
    <w:basedOn w:val="93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26">
    <w:name w:val="List Table 4 - Accent 1"/>
    <w:basedOn w:val="932"/>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27">
    <w:name w:val="List Table 4 - Accent 2"/>
    <w:basedOn w:val="93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rPr>
      <w:tblPr/>
    </w:tblStylePr>
    <w:tblStylePr w:type="firstRow">
      <w:rPr>
        <w:b/>
        <w:color w:val="FFFFFF"/>
        <w:sz w:val="22"/>
      </w:rPr>
      <w:tblPr/>
      <w:tcPr>
        <w:shd w:val="clear" w:color="FFFFFF" w:fill="ED7D31" w:themeFill="accent2"/>
      </w:tcPr>
    </w:tblStylePr>
    <w:tblStylePr w:type="lastCol">
      <w:rPr>
        <w:b/>
        <w:color w:val="404040"/>
      </w:rPr>
      <w:tblPr/>
    </w:tblStylePr>
    <w:tblStylePr w:type="lastRow">
      <w:rPr>
        <w:b/>
        <w:color w:val="404040"/>
      </w:rPr>
      <w:tblPr/>
    </w:tblStylePr>
  </w:style>
  <w:style w:type="table" w:styleId="128">
    <w:name w:val="List Table 4 - Accent 3"/>
    <w:basedOn w:val="932"/>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rPr>
      <w:tblPr/>
    </w:tblStylePr>
    <w:tblStylePr w:type="firstRow">
      <w:rPr>
        <w:b/>
        <w:color w:val="FFFFFF"/>
        <w:sz w:val="22"/>
      </w:rPr>
      <w:tblPr/>
      <w:tcPr>
        <w:shd w:val="clear" w:color="FFFFFF" w:fill="A5A5A5" w:themeFill="accent3"/>
      </w:tcPr>
    </w:tblStylePr>
    <w:tblStylePr w:type="lastCol">
      <w:rPr>
        <w:b/>
        <w:color w:val="404040"/>
      </w:rPr>
      <w:tblPr/>
    </w:tblStylePr>
    <w:tblStylePr w:type="lastRow">
      <w:rPr>
        <w:b/>
        <w:color w:val="404040"/>
      </w:rPr>
      <w:tblPr/>
    </w:tblStylePr>
  </w:style>
  <w:style w:type="table" w:styleId="129">
    <w:name w:val="List Table 4 - Accent 4"/>
    <w:basedOn w:val="932"/>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rPr>
      <w:tblPr/>
    </w:tblStylePr>
    <w:tblStylePr w:type="firstRow">
      <w:rPr>
        <w:b/>
        <w:color w:val="FFFFFF"/>
        <w:sz w:val="22"/>
      </w:rPr>
      <w:tblPr/>
      <w:tcPr>
        <w:shd w:val="clear" w:color="FFFFFF" w:fill="FFC000" w:themeFill="accent4"/>
      </w:tcPr>
    </w:tblStylePr>
    <w:tblStylePr w:type="lastCol">
      <w:rPr>
        <w:b/>
        <w:color w:val="404040"/>
      </w:rPr>
      <w:tblPr/>
    </w:tblStylePr>
    <w:tblStylePr w:type="lastRow">
      <w:rPr>
        <w:b/>
        <w:color w:val="404040"/>
      </w:rPr>
      <w:tblPr/>
    </w:tblStylePr>
  </w:style>
  <w:style w:type="table" w:styleId="130">
    <w:name w:val="List Table 4 - Accent 5"/>
    <w:basedOn w:val="932"/>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rPr>
      <w:tblPr/>
    </w:tblStylePr>
    <w:tblStylePr w:type="firstRow">
      <w:rPr>
        <w:b/>
        <w:color w:val="FFFFFF"/>
        <w:sz w:val="22"/>
      </w:rPr>
      <w:tblPr/>
      <w:tcPr>
        <w:shd w:val="clear" w:color="FFFFFF" w:fill="5B9BD5" w:themeFill="accent5"/>
      </w:tcPr>
    </w:tblStylePr>
    <w:tblStylePr w:type="lastCol">
      <w:rPr>
        <w:b/>
        <w:color w:val="404040"/>
      </w:rPr>
      <w:tblPr/>
    </w:tblStylePr>
    <w:tblStylePr w:type="lastRow">
      <w:rPr>
        <w:b/>
        <w:color w:val="404040"/>
      </w:rPr>
      <w:tblPr/>
    </w:tblStylePr>
  </w:style>
  <w:style w:type="table" w:styleId="131">
    <w:name w:val="List Table 4 - Accent 6"/>
    <w:basedOn w:val="932"/>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rPr>
      <w:tblPr/>
    </w:tblStylePr>
    <w:tblStylePr w:type="firstRow">
      <w:rPr>
        <w:b/>
        <w:color w:val="FFFFFF"/>
        <w:sz w:val="22"/>
      </w:rPr>
      <w:tblPr/>
      <w:tcPr>
        <w:shd w:val="clear" w:color="FFFFFF" w:fill="70AD47" w:themeFill="accent6"/>
      </w:tcPr>
    </w:tblStylePr>
    <w:tblStylePr w:type="lastCol">
      <w:rPr>
        <w:b/>
        <w:color w:val="404040"/>
      </w:rPr>
      <w:tblPr/>
    </w:tblStylePr>
    <w:tblStylePr w:type="lastRow">
      <w:rPr>
        <w:b/>
        <w:color w:val="404040"/>
      </w:rPr>
      <w:tblPr/>
    </w:tblStylePr>
  </w:style>
  <w:style w:type="table" w:styleId="132">
    <w:name w:val="List Table 5 Dark"/>
    <w:basedOn w:val="932"/>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3">
    <w:name w:val="List Table 5 Dark - Accent 1"/>
    <w:basedOn w:val="932"/>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4">
    <w:name w:val="List Table 5 Dark - Accent 2"/>
    <w:basedOn w:val="93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5">
    <w:name w:val="List Table 5 Dark - Accent 3"/>
    <w:basedOn w:val="932"/>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6">
    <w:name w:val="List Table 5 Dark - Accent 4"/>
    <w:basedOn w:val="932"/>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7">
    <w:name w:val="List Table 5 Dark - Accent 5"/>
    <w:basedOn w:val="932"/>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8">
    <w:name w:val="List Table 5 Dark - Accent 6"/>
    <w:basedOn w:val="932"/>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9">
    <w:name w:val="List Table 6 Colorful"/>
    <w:basedOn w:val="932"/>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40">
    <w:name w:val="List Table 6 Colorful - Accent 1"/>
    <w:basedOn w:val="932"/>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404040"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41">
    <w:name w:val="List Table 6 Colorful - Accent 2"/>
    <w:basedOn w:val="93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42">
    <w:name w:val="List Table 6 Colorful - Accent 3"/>
    <w:basedOn w:val="932"/>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43">
    <w:name w:val="List Table 6 Colorful - Accent 4"/>
    <w:basedOn w:val="932"/>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44">
    <w:name w:val="List Table 6 Colorful - Accent 5"/>
    <w:basedOn w:val="932"/>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404040"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45">
    <w:name w:val="List Table 6 Colorful - Accent 6"/>
    <w:basedOn w:val="932"/>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46">
    <w:name w:val="List Table 7 Colorful"/>
    <w:basedOn w:val="932"/>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i/>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i/>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tblStylePr w:type="wholeTable">
      <w:rPr>
        <w:color w:val="4A4A4A" w:themeColor="text1" w:themeTint="80" w:themeShade="95"/>
        <w:sz w:val="22"/>
      </w:rPr>
      <w:tblPr/>
    </w:tblStylePr>
  </w:style>
  <w:style w:type="table" w:styleId="147">
    <w:name w:val="List Table 7 Colorful - Accent 1"/>
    <w:basedOn w:val="932"/>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left w:val="none"/>
          <w:bottom w:val="none"/>
          <w:right w:val="single" w:color="000000" w:themeColor="accent1" w:sz="4" w:space="0"/>
        </w:tcBorders>
        <w:shd w:color="FFFFFF"/>
      </w:tcPr>
    </w:tblStylePr>
    <w:tblStylePr w:type="firstRow">
      <w:rPr>
        <w:i/>
        <w:color w:val="254374" w:themeColor="accent1"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254374" w:themeColor="accent1" w:themeShade="95"/>
        <w:sz w:val="22"/>
      </w:rPr>
      <w:tblPr/>
      <w:tcPr>
        <w:tcBorders>
          <w:top w:val="none"/>
          <w:left w:val="single" w:color="000000" w:themeColor="accent1" w:sz="4" w:space="0"/>
          <w:bottom w:val="none"/>
          <w:right w:val="none"/>
        </w:tcBorders>
        <w:shd w:color="FFFFFF"/>
      </w:tcPr>
    </w:tblStylePr>
    <w:tblStylePr w:type="lastRow">
      <w:rPr>
        <w:i/>
        <w:color w:val="254374" w:themeColor="accent1" w:themeShade="95"/>
        <w:sz w:val="22"/>
      </w:rPr>
      <w:tblPr/>
      <w:tcPr>
        <w:tcBorders>
          <w:top w:val="single" w:color="000000" w:themeColor="accent1" w:sz="4" w:space="0"/>
          <w:left w:val="none"/>
          <w:bottom w:val="none"/>
          <w:right w:val="none"/>
        </w:tcBorders>
        <w:shd w:val="clear" w:color="FFFFFF" w:fill="FFFFFF" w:themeFill="light1"/>
      </w:tcPr>
    </w:tblStylePr>
    <w:tblStylePr w:type="wholeTable">
      <w:rPr>
        <w:color w:val="254374" w:themeColor="accent1" w:themeShade="95"/>
        <w:sz w:val="22"/>
      </w:rPr>
      <w:tblPr/>
    </w:tblStylePr>
  </w:style>
  <w:style w:type="table" w:styleId="148">
    <w:name w:val="List Table 7 Colorful - Accent 2"/>
    <w:basedOn w:val="932"/>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i/>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i/>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tblStylePr w:type="wholeTable">
      <w:rPr>
        <w:color w:val="C95712" w:themeColor="accent2" w:themeTint="97" w:themeShade="95"/>
        <w:sz w:val="22"/>
      </w:rPr>
      <w:tblPr/>
    </w:tblStylePr>
  </w:style>
  <w:style w:type="table" w:styleId="149">
    <w:name w:val="List Table 7 Colorful - Accent 3"/>
    <w:basedOn w:val="932"/>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left w:val="none"/>
          <w:bottom w:val="none"/>
          <w:right w:val="single" w:color="000000" w:themeColor="accent3" w:sz="4" w:space="0"/>
        </w:tcBorders>
        <w:shd w:color="FFFFFF"/>
      </w:tcPr>
    </w:tblStylePr>
    <w:tblStylePr w:type="firstRow">
      <w:rPr>
        <w:i/>
        <w:color w:val="757575" w:themeColor="accent3" w:themeTint="98"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757575" w:themeColor="accent3" w:themeTint="98" w:themeShade="95"/>
        <w:sz w:val="22"/>
      </w:rPr>
      <w:tblPr/>
      <w:tcPr>
        <w:tcBorders>
          <w:top w:val="none"/>
          <w:left w:val="single" w:color="000000" w:themeColor="accent3" w:sz="4" w:space="0"/>
          <w:bottom w:val="none"/>
          <w:right w:val="none"/>
        </w:tcBorders>
        <w:shd w:color="FFFFFF"/>
      </w:tcPr>
    </w:tblStylePr>
    <w:tblStylePr w:type="lastRow">
      <w:rPr>
        <w:i/>
        <w:color w:val="757575" w:themeColor="accent3" w:themeTint="98" w:themeShade="95"/>
        <w:sz w:val="22"/>
      </w:rPr>
      <w:tblPr/>
      <w:tcPr>
        <w:tcBorders>
          <w:top w:val="single" w:color="000000" w:themeColor="accent3" w:sz="4" w:space="0"/>
          <w:left w:val="none"/>
          <w:bottom w:val="none"/>
          <w:right w:val="none"/>
        </w:tcBorders>
        <w:shd w:val="clear" w:color="FFFFFF" w:fill="FFFFFF" w:themeFill="light1"/>
      </w:tcPr>
    </w:tblStylePr>
    <w:tblStylePr w:type="wholeTable">
      <w:rPr>
        <w:color w:val="757575" w:themeColor="accent3" w:themeTint="98" w:themeShade="95"/>
        <w:sz w:val="22"/>
      </w:rPr>
      <w:tblPr/>
    </w:tblStylePr>
  </w:style>
  <w:style w:type="table" w:styleId="150">
    <w:name w:val="List Table 7 Colorful - Accent 4"/>
    <w:basedOn w:val="932"/>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i/>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i/>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tblStylePr w:type="wholeTable">
      <w:rPr>
        <w:color w:val="CD9600" w:themeColor="accent4" w:themeTint="9a" w:themeShade="95"/>
        <w:sz w:val="22"/>
      </w:rPr>
      <w:tblPr/>
    </w:tblStylePr>
  </w:style>
  <w:style w:type="table" w:styleId="151">
    <w:name w:val="List Table 7 Colorful - Accent 5"/>
    <w:basedOn w:val="932"/>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left w:val="none"/>
          <w:bottom w:val="none"/>
          <w:right w:val="single" w:color="000000" w:themeColor="accent5" w:sz="4" w:space="0"/>
        </w:tcBorders>
        <w:shd w:color="FFFFFF"/>
      </w:tcPr>
    </w:tblStylePr>
    <w:tblStylePr w:type="firstRow">
      <w:rPr>
        <w:i/>
        <w:color w:val="2E78B1" w:themeColor="accent5" w:themeTint="9a"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2E78B1" w:themeColor="accent5" w:themeTint="9a" w:themeShade="95"/>
        <w:sz w:val="22"/>
      </w:rPr>
      <w:tblPr/>
      <w:tcPr>
        <w:tcBorders>
          <w:top w:val="none"/>
          <w:left w:val="single" w:color="000000" w:themeColor="accent5" w:sz="4" w:space="0"/>
          <w:bottom w:val="none"/>
          <w:right w:val="none"/>
        </w:tcBorders>
        <w:shd w:color="FFFFFF"/>
      </w:tcPr>
    </w:tblStylePr>
    <w:tblStylePr w:type="lastRow">
      <w:rPr>
        <w:i/>
        <w:color w:val="2E78B1" w:themeColor="accent5" w:themeTint="9a" w:themeShade="95"/>
        <w:sz w:val="22"/>
      </w:rPr>
      <w:tblPr/>
      <w:tcPr>
        <w:tcBorders>
          <w:top w:val="single" w:color="000000" w:themeColor="accent5" w:sz="4" w:space="0"/>
          <w:left w:val="none"/>
          <w:bottom w:val="none"/>
          <w:right w:val="none"/>
        </w:tcBorders>
        <w:shd w:val="clear" w:color="FFFFFF" w:fill="FFFFFF" w:themeFill="light1"/>
      </w:tcPr>
    </w:tblStylePr>
    <w:tblStylePr w:type="wholeTable">
      <w:rPr>
        <w:color w:val="2E78B1" w:themeColor="accent5" w:themeTint="9a" w:themeShade="95"/>
        <w:sz w:val="22"/>
      </w:rPr>
      <w:tblPr/>
    </w:tblStylePr>
  </w:style>
  <w:style w:type="table" w:styleId="152">
    <w:name w:val="List Table 7 Colorful - Accent 6"/>
    <w:basedOn w:val="932"/>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left w:val="none"/>
          <w:bottom w:val="none"/>
          <w:right w:val="single" w:color="000000" w:themeColor="accent6" w:sz="4" w:space="0"/>
        </w:tcBorders>
        <w:shd w:color="FFFFFF"/>
      </w:tcPr>
    </w:tblStylePr>
    <w:tblStylePr w:type="firstRow">
      <w:rPr>
        <w:i/>
        <w:color w:val="5F8F3C" w:themeColor="accent6" w:themeTint="98"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5F8F3C" w:themeColor="accent6" w:themeTint="98" w:themeShade="95"/>
        <w:sz w:val="22"/>
      </w:rPr>
      <w:tblPr/>
      <w:tcPr>
        <w:tcBorders>
          <w:top w:val="none"/>
          <w:left w:val="single" w:color="000000" w:themeColor="accent6" w:sz="4" w:space="0"/>
          <w:bottom w:val="none"/>
          <w:right w:val="none"/>
        </w:tcBorders>
        <w:shd w:color="FFFFFF"/>
      </w:tcPr>
    </w:tblStylePr>
    <w:tblStylePr w:type="lastRow">
      <w:rPr>
        <w:i/>
        <w:color w:val="5F8F3C" w:themeColor="accent6" w:themeTint="98" w:themeShade="95"/>
        <w:sz w:val="22"/>
      </w:rPr>
      <w:tblPr/>
      <w:tcPr>
        <w:tcBorders>
          <w:top w:val="single" w:color="000000" w:themeColor="accent6" w:sz="4" w:space="0"/>
          <w:left w:val="none"/>
          <w:bottom w:val="none"/>
          <w:right w:val="none"/>
        </w:tcBorders>
        <w:shd w:val="clear" w:color="FFFFFF" w:fill="FFFFFF" w:themeFill="light1"/>
      </w:tcPr>
    </w:tblStylePr>
    <w:tblStylePr w:type="wholeTable">
      <w:rPr>
        <w:color w:val="5F8F3C" w:themeColor="accent6" w:themeTint="98" w:themeShade="95"/>
        <w:sz w:val="22"/>
      </w:rPr>
      <w:tblPr/>
    </w:tblStylePr>
  </w:style>
  <w:style w:type="table" w:styleId="153">
    <w:name w:val="Lined - Accent"/>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54">
    <w:name w:val="Lined - Accent 1"/>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55">
    <w:name w:val="Lined - Accent 2"/>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56">
    <w:name w:val="Lined - Accent 3"/>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57">
    <w:name w:val="Lined - Accent 4"/>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58">
    <w:name w:val="Lined - Accent 5"/>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59">
    <w:name w:val="Lined - Accent 6"/>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60">
    <w:name w:val="Bordered &amp; Lined - Accent"/>
    <w:basedOn w:val="932"/>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61">
    <w:name w:val="Bordered &amp; Lined - Accent 1"/>
    <w:basedOn w:val="932"/>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62">
    <w:name w:val="Bordered &amp; Lined - Accent 2"/>
    <w:basedOn w:val="932"/>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63">
    <w:name w:val="Bordered &amp; Lined - Accent 3"/>
    <w:basedOn w:val="932"/>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64">
    <w:name w:val="Bordered &amp; Lined - Accent 4"/>
    <w:basedOn w:val="932"/>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65">
    <w:name w:val="Bordered &amp; Lined - Accent 5"/>
    <w:basedOn w:val="932"/>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66">
    <w:name w:val="Bordered &amp; Lined - Accent 6"/>
    <w:basedOn w:val="932"/>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67">
    <w:name w:val="Bordered"/>
    <w:basedOn w:val="932"/>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168">
    <w:name w:val="Bordered - Accent 1"/>
    <w:basedOn w:val="93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169">
    <w:name w:val="Bordered - Accent 2"/>
    <w:basedOn w:val="93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170">
    <w:name w:val="Bordered - Accent 3"/>
    <w:basedOn w:val="93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171">
    <w:name w:val="Bordered - Accent 4"/>
    <w:basedOn w:val="93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172">
    <w:name w:val="Bordered - Accent 5"/>
    <w:basedOn w:val="93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173">
    <w:name w:val="Bordered - Accent 6"/>
    <w:basedOn w:val="93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932">
    <w:name w:val="Normal Table"/>
    <w:uiPriority w:val="99"/>
    <w:semiHidden/>
    <w:unhideWhenUsed/>
    <w:tblPr>
      <w:tblCellMar>
        <w:left w:w="108" w:type="dxa"/>
        <w:top w:w="0" w:type="dxa"/>
        <w:right w:w="108" w:type="dxa"/>
        <w:bottom w:w="0" w:type="dxa"/>
      </w:tblCellMar>
    </w:tblPr>
  </w:style>
  <w:style w:type="table" w:customStyle="1" w:styleId="961">
    <w:name w:val="[РГ] Таблица"/>
    <w:basedOn w:val="932"/>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962">
    <w:name w:val="Table Grid"/>
    <w:basedOn w:val="932"/>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www.roseltorg.ru/knowledge_db/docs?55" TargetMode="External"/><Relationship Id="rId4" Type="http://schemas.openxmlformats.org/officeDocument/2006/relationships/hyperlink" Target="http://nikitina-nv@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2.wmf"/><Relationship Id="rId22" Type="http://schemas.openxmlformats.org/officeDocument/2006/relationships/image" Target="media/image3.wmf"/><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image" Target="media/image4.png"/><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footer" Target="footer12.xml"/><Relationship Id="rId31" Type="http://schemas.openxmlformats.org/officeDocument/2006/relationships/footer" Target="footer13.xml"/><Relationship Id="rId32" Type="http://schemas.openxmlformats.org/officeDocument/2006/relationships/image" Target="media/image5.wmf"/><Relationship Id="rId33" Type="http://schemas.openxmlformats.org/officeDocument/2006/relationships/image" Target="media/image6.wmf"/><Relationship Id="rId34" Type="http://schemas.openxmlformats.org/officeDocument/2006/relationships/header" Target="header12.xml"/><Relationship Id="rId35" Type="http://schemas.openxmlformats.org/officeDocument/2006/relationships/header" Target="header13.xml"/><Relationship Id="rId36" Type="http://schemas.openxmlformats.org/officeDocument/2006/relationships/footer" Target="footer14.xml"/><Relationship Id="rId37" Type="http://schemas.openxmlformats.org/officeDocument/2006/relationships/footer" Target="footer15.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Relationship Id="rId4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Application>AlterOffice/2026.2.0.0$Linux_X86_64 LibreOffice_project/bc4ef1adf80b36c7a6365f8ed6cbf29021361edd</Application>
  <AppVersion>15.0000</AppVersion>
  <Pages>72</Pages>
  <Words>19008</Words>
  <Characters>130816</Characters>
  <CharactersWithSpaces>147006</CharactersWithSpaces>
  <Paragraphs>1093</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nikitina_nv@DGK.RU</cp:lastModifiedBy>
  <dcterms:modified xsi:type="dcterms:W3CDTF">2026-11-02T09:50:15Z</dcterms:modified>
  <cp:revision>169</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