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13.xml" ContentType="application/vnd.openxmlformats-officedocument.wordprocessingml.header+xml"/>
  <Override PartName="/word/footer10.xml" ContentType="application/vnd.openxmlformats-officedocument.wordprocessingml.footer+xml"/>
  <Override PartName="/word/footer2.xml" ContentType="application/vnd.openxmlformats-officedocument.wordprocessingml.footer+xml"/>
  <Override PartName="/word/header12.xml" ContentType="application/vnd.openxmlformats-officedocument.wordprocessingml.header+xml"/>
  <Override PartName="/word/settings.xml" ContentType="application/vnd.openxmlformats-officedocument.wordprocessingml.settings+xml"/>
  <Override PartName="/word/header9.xml" ContentType="application/vnd.openxmlformats-officedocument.wordprocessingml.header+xml"/>
  <Override PartName="/word/header11.xml" ContentType="application/vnd.openxmlformats-officedocument.wordprocessingml.header+xml"/>
  <Override PartName="/word/header8.xml" ContentType="application/vnd.openxmlformats-officedocument.wordprocessingml.header+xml"/>
  <Override PartName="/word/header1.xml" ContentType="application/vnd.openxmlformats-officedocument.wordprocessingml.header+xml"/>
  <Override PartName="/word/_rels/document.xml.rels" ContentType="application/vnd.openxmlformats-package.relationships+xml"/>
  <Override PartName="/word/footer8.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embeddings/oleObject1.docx" ContentType="application/vnd.openxmlformats-officedocument.wordprocessingml.document"/>
  <Override PartName="/word/embeddings/oleObject2.docx" ContentType="application/vnd.openxmlformats-officedocument.wordprocessingml.document"/>
  <Override PartName="/word/embeddings/oleObject3.docx" ContentType="application/vnd.openxmlformats-officedocument.wordprocessingml.document"/>
  <Override PartName="/word/embeddings/oleObject4.xlsx" ContentType="application/vnd.openxmlformats-officedocument.spreadsheetml.sheet"/>
  <Override PartName="/word/embeddings/oleObject5.docx" ContentType="application/vnd.openxmlformats-officedocument.wordprocessingml.document"/>
  <Override PartName="/word/header14.xml" ContentType="application/vnd.openxmlformats-officedocument.wordprocessingml.header+xml"/>
  <Override PartName="/word/media/image1.wmf" ContentType="image/x-wmf"/>
  <Override PartName="/word/media/image2.wmf" ContentType="image/x-wmf"/>
  <Override PartName="/word/media/image3.wmf" ContentType="image/x-wmf"/>
  <Override PartName="/word/media/image4.wmf" ContentType="image/x-wmf"/>
  <Override PartName="/word/media/image5.wmf" ContentType="image/x-wmf"/>
  <Override PartName="/word/header15.xml" ContentType="application/vnd.openxmlformats-officedocument.wordprocessingml.header+xml"/>
  <Override PartName="/word/footnotes.xml" ContentType="application/vnd.openxmlformats-officedocument.wordprocessingml.footnotes+xml"/>
  <Override PartName="/word/header4.xml" ContentType="application/vnd.openxmlformats-officedocument.wordprocessingml.header+xml"/>
  <Override PartName="/word/footer12.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header7.xml" ContentType="application/vnd.openxmlformats-officedocument.wordprocessingml.header+xml"/>
  <Override PartName="/word/header10.xml" ContentType="application/vnd.openxmlformats-officedocument.wordprocessingml.header+xml"/>
  <Override PartName="/word/header5.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footer3.xml" ContentType="application/vnd.openxmlformats-officedocument.wordprocessingml.footer+xml"/>
  <Override PartName="/word/footer11.xml" ContentType="application/vnd.openxmlformats-officedocument.wordprocessingml.footer+xml"/>
  <Override PartName="/word/document.xml" ContentType="application/vnd.openxmlformats-officedocument.wordprocessingml.document.main+xml"/>
  <Override PartName="/word/header6.xml" ContentType="application/vnd.openxmlformats-officedocument.wordprocessingml.header+xml"/>
  <Override PartName="/word/footer7.xml" ContentType="application/vnd.openxmlformats-officedocument.wordprocessingml.footer+xml"/>
  <Override PartName="/word/footer15.xml" ContentType="application/vnd.openxmlformats-officedocument.wordprocessingml.footer+xml"/>
  <Override PartName="/word/numbering.xml" ContentType="application/vnd.openxmlformats-officedocument.wordprocessingml.numbering+xml"/>
  <Override PartName="/word/footer13.xml" ContentType="application/vnd.openxmlformats-officedocument.wordprocessingml.footer+xml"/>
  <Override PartName="/word/footer5.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footer6.xml" ContentType="application/vnd.openxmlformats-officedocument.wordprocessingml.footer+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7"/>
        <w:keepNext w:val="true"/>
        <w:spacing w:before="120" w:after="0"/>
        <w:ind w:left="4536" w:hanging="0"/>
        <w:rPr/>
      </w:pPr>
      <w:r>
        <w:rPr/>
        <w:t>«УТВЕРЖДАЮ»</w:t>
      </w:r>
    </w:p>
    <w:p>
      <w:pPr>
        <w:pStyle w:val="Style27"/>
        <w:keepNext w:val="true"/>
        <w:ind w:left="4536" w:hanging="0"/>
        <w:rPr/>
      </w:pPr>
      <w:r>
        <w:rPr/>
        <w:t>Председатель закупочной комиссии</w:t>
      </w:r>
    </w:p>
    <w:p>
      <w:pPr>
        <w:pStyle w:val="Style27"/>
        <w:keepNext w:val="true"/>
        <w:ind w:left="4536" w:hanging="0"/>
        <w:rPr>
          <w:sz w:val="24"/>
          <w:szCs w:val="24"/>
          <w14:ligatures w14:val="none"/>
        </w:rPr>
      </w:pPr>
      <w:r>
        <w:rPr/>
        <w:t>Председатель закупочной комиссии 1-го уровня – Заместитель Генерального директора по управлению ресурсами АО «ДГК»</w:t>
      </w:r>
    </w:p>
    <w:p>
      <w:pPr>
        <w:pStyle w:val="Style27"/>
        <w:keepNext w:val="true"/>
        <w:ind w:left="4536" w:hanging="0"/>
        <w:rPr>
          <w:sz w:val="24"/>
          <w:szCs w:val="24"/>
          <w14:ligatures w14:val="none"/>
        </w:rPr>
      </w:pPr>
      <w:r>
        <w:rPr/>
        <w:t>__________________Д.А. Богонатов</w:t>
      </w:r>
    </w:p>
    <w:p>
      <w:pPr>
        <w:pStyle w:val="Style27"/>
        <w:keepNext w:val="true"/>
        <w:ind w:left="4536" w:hanging="0"/>
        <w:rPr>
          <w:sz w:val="24"/>
          <w:szCs w:val="24"/>
          <w14:ligatures w14:val="none"/>
        </w:rPr>
      </w:pPr>
      <w:r>
        <w:rPr/>
        <w:t xml:space="preserve"> </w:t>
      </w:r>
      <w:r>
        <w:rPr/>
        <w:t>«___» _______________ 2026 г.</w:t>
      </w:r>
    </w:p>
    <w:p>
      <w:pPr>
        <w:pStyle w:val="Style27"/>
        <w:keepNext w:val="false"/>
        <w:widowControl/>
        <w:bidi w:val="0"/>
        <w:spacing w:before="120" w:after="0"/>
        <w:ind w:hanging="0"/>
        <w:jc w:val="both"/>
        <w:rPr/>
      </w:pPr>
      <w:r>
        <w:rPr/>
      </w:r>
    </w:p>
    <w:p>
      <w:pPr>
        <w:pStyle w:val="Style27"/>
        <w:rPr/>
      </w:pPr>
      <w:r>
        <w:rPr/>
      </w:r>
    </w:p>
    <w:p>
      <w:pPr>
        <w:pStyle w:val="Style27"/>
        <w:rPr/>
      </w:pPr>
      <w:r>
        <w:rPr/>
      </w:r>
    </w:p>
    <w:p>
      <w:pPr>
        <w:pStyle w:val="Style27"/>
        <w:rPr/>
      </w:pPr>
      <w:r>
        <w:rPr/>
      </w:r>
    </w:p>
    <w:p>
      <w:pPr>
        <w:pStyle w:val="Style27"/>
        <w:rPr/>
      </w:pPr>
      <w:r>
        <w:rPr/>
      </w:r>
    </w:p>
    <w:p>
      <w:pPr>
        <w:pStyle w:val="Style27"/>
        <w:keepNext w:val="true"/>
        <w:numPr>
          <w:ilvl w:val="0"/>
          <w:numId w:val="0"/>
        </w:numPr>
        <w:ind w:left="0" w:hanging="0"/>
        <w:jc w:val="center"/>
        <w:outlineLvl w:val="2"/>
        <w:rPr>
          <w:b/>
          <w:bCs/>
          <w:caps/>
        </w:rPr>
      </w:pPr>
      <w:r>
        <w:rPr>
          <w:b/>
          <w:bCs/>
          <w:caps/>
        </w:rPr>
        <w:t>Документация о закупке</w:t>
      </w:r>
    </w:p>
    <w:p>
      <w:pPr>
        <w:pStyle w:val="Style27"/>
        <w:keepNext w:val="true"/>
        <w:spacing w:before="240" w:after="0"/>
        <w:jc w:val="center"/>
        <w:rPr>
          <w:rStyle w:val="Style8"/>
        </w:rPr>
      </w:pPr>
      <w:r>
        <w:rPr/>
        <w:t>Аукцион в электронной форме,</w:t>
        <w:br/>
        <w:t>участниками которого могут быть только субъекты МСП,</w:t>
        <w:br/>
        <w:t>на право заключения договора на ОКПД 2: 71.12.31.001 Оказание услуг по корректировке проекта рекультивации карьера Силинский с использованием золошлаковых отходов V класса опасности с целью прохождения государственной экологической экспертизы для нужд СП «Артемовская ТЭЦ»</w:t>
      </w:r>
    </w:p>
    <w:p>
      <w:pPr>
        <w:sectPr>
          <w:type w:val="nextPage"/>
          <w:pgSz w:w="11906" w:h="16838"/>
          <w:pgMar w:left="1134" w:right="850" w:gutter="0" w:header="0" w:top="851" w:footer="0" w:bottom="851"/>
          <w:pgNumType w:fmt="decimal"/>
          <w:formProt w:val="false"/>
          <w:textDirection w:val="lrTb"/>
          <w:docGrid w:type="default" w:linePitch="360" w:charSpace="0"/>
        </w:sectPr>
        <w:pStyle w:val="Style27"/>
        <w:keepNext w:val="true"/>
        <w:spacing w:before="240" w:after="0"/>
        <w:jc w:val="center"/>
        <w:rPr/>
      </w:pPr>
      <w:r>
        <w:rPr/>
        <w:t>(Лот № </w:t>
      </w:r>
      <w:r>
        <w:rPr>
          <w:i w:val="false"/>
          <w:iCs w:val="false"/>
          <w:sz w:val="24"/>
          <w:szCs w:val="24"/>
          <w:lang w:eastAsia="en-US"/>
        </w:rPr>
        <w:t>41041044-ЭКСП ПРОД-2026-ДГК-АрТЭЦ</w:t>
      </w:r>
      <w:r>
        <w:rPr>
          <w:i w:val="false"/>
          <w:iCs w:val="false"/>
        </w:rPr>
        <w:t>)</w:t>
      </w:r>
    </w:p>
    <w:p>
      <w:pPr>
        <w:pStyle w:val="Style26"/>
        <w:numPr>
          <w:ilvl w:val="0"/>
          <w:numId w:val="0"/>
        </w:numPr>
        <w:ind w:left="0" w:hanging="0"/>
        <w:outlineLvl w:val="2"/>
        <w:rPr/>
      </w:pPr>
      <w:r>
        <w:rPr/>
        <w:t>Содержание</w:t>
      </w:r>
    </w:p>
    <w:sdt>
      <w:sdtPr>
        <w:docPartObj>
          <w:docPartGallery w:val="Table of Contents"/>
          <w:docPartUnique w:val="true"/>
        </w:docPartObj>
      </w:sdtPr>
      <w:sdtContent>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r>
            <w:fldChar w:fldCharType="begin"/>
          </w:r>
          <w:r>
            <w:rPr>
              <w:webHidden/>
              <w:rStyle w:val="Style17"/>
              <w:vanish w:val="false"/>
            </w:rPr>
            <w:instrText xml:space="preserve"> TOC \z \u \t "[РГ] Перечисление,5,[РГ] Подпункт,4,[РГ] Пункт,3,[РГ] Подраздел,2,[РГ] Раздел,1,[РГ] Раздел,1,[РГ] Подраздел,2" \h</w:instrText>
          </w:r>
          <w:r>
            <w:rPr>
              <w:webHidden/>
              <w:rStyle w:val="Style17"/>
              <w:vanish w:val="false"/>
            </w:rPr>
            <w:fldChar w:fldCharType="separate"/>
          </w:r>
          <w:hyperlink w:anchor="_Toc228877194">
            <w:r>
              <w:rPr>
                <w:webHidden/>
              </w:rPr>
              <w:fldChar w:fldCharType="begin"/>
            </w:r>
            <w:r>
              <w:rPr>
                <w:webHidden/>
              </w:rPr>
              <w:instrText xml:space="preserve">PAGEREF _Toc228877194 \h</w:instrText>
            </w:r>
            <w:r>
              <w:rPr>
                <w:webHidden/>
              </w:rPr>
              <w:fldChar w:fldCharType="separate"/>
            </w:r>
            <w:r>
              <w:rPr>
                <w:webHidden/>
                <w:rStyle w:val="Style17"/>
                <w:vanish w:val="false"/>
              </w:rPr>
              <w:t>Сокращения</w:t>
              <w:tab/>
              <w:t>6</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195">
            <w:r>
              <w:rPr>
                <w:webHidden/>
              </w:rPr>
              <w:fldChar w:fldCharType="begin"/>
            </w:r>
            <w:r>
              <w:rPr>
                <w:webHidden/>
              </w:rPr>
              <w:instrText xml:space="preserve">PAGEREF _Toc228877195 \h</w:instrText>
            </w:r>
            <w:r>
              <w:rPr>
                <w:webHidden/>
              </w:rPr>
              <w:fldChar w:fldCharType="separate"/>
            </w:r>
            <w:r>
              <w:rPr>
                <w:webHidden/>
                <w:rStyle w:val="Style17"/>
                <w:vanish w:val="false"/>
              </w:rPr>
              <w:t>Термины и определения</w:t>
              <w:tab/>
              <w:t>8</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196">
            <w:r>
              <w:rPr>
                <w:webHidden/>
                <w:rStyle w:val="Style17"/>
                <w:vanish w:val="false"/>
              </w:rPr>
              <w:t>1.</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Основные сведения о закупке</w:t>
            </w:r>
            <w:r>
              <w:rPr>
                <w:webHidden/>
              </w:rPr>
              <w:fldChar w:fldCharType="begin"/>
            </w:r>
            <w:r>
              <w:rPr>
                <w:webHidden/>
              </w:rPr>
              <w:instrText xml:space="preserve">PAGEREF _Toc228877196 \h</w:instrText>
            </w:r>
            <w:r>
              <w:rPr>
                <w:webHidden/>
              </w:rPr>
              <w:fldChar w:fldCharType="separate"/>
            </w:r>
            <w:r>
              <w:rPr>
                <w:rStyle w:val="Style17"/>
                <w:vanish w:val="false"/>
              </w:rPr>
              <w:tab/>
              <w:t>12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197">
            <w:r>
              <w:rPr>
                <w:webHidden/>
                <w:rStyle w:val="Style17"/>
                <w:vanish w:val="false"/>
              </w:rPr>
              <w:t>1.1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Статус настоящего раздела</w:t>
            </w:r>
            <w:r>
              <w:rPr>
                <w:webHidden/>
              </w:rPr>
              <w:fldChar w:fldCharType="begin"/>
            </w:r>
            <w:r>
              <w:rPr>
                <w:webHidden/>
              </w:rPr>
              <w:instrText xml:space="preserve">PAGEREF _Toc228877197 \h</w:instrText>
            </w:r>
            <w:r>
              <w:rPr>
                <w:webHidden/>
              </w:rPr>
              <w:fldChar w:fldCharType="separate"/>
            </w:r>
            <w:r>
              <w:rPr>
                <w:rStyle w:val="Style17"/>
                <w:vanish w:val="false"/>
              </w:rPr>
              <w:tab/>
              <w:t>12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198">
            <w:r>
              <w:rPr>
                <w:webHidden/>
                <w:rStyle w:val="Style17"/>
                <w:vanish w:val="false"/>
              </w:rPr>
              <w:t>1.2</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Информация о проводимой закупке</w:t>
            </w:r>
            <w:r>
              <w:rPr>
                <w:webHidden/>
              </w:rPr>
              <w:fldChar w:fldCharType="begin"/>
            </w:r>
            <w:r>
              <w:rPr>
                <w:webHidden/>
              </w:rPr>
              <w:instrText xml:space="preserve">PAGEREF _Toc228877198 \h</w:instrText>
            </w:r>
            <w:r>
              <w:rPr>
                <w:webHidden/>
              </w:rPr>
              <w:fldChar w:fldCharType="separate"/>
            </w:r>
            <w:r>
              <w:rPr>
                <w:rStyle w:val="Style17"/>
                <w:vanish w:val="false"/>
              </w:rPr>
              <w:tab/>
              <w:t>12</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199">
            <w:r>
              <w:rPr>
                <w:webHidden/>
                <w:rStyle w:val="Style17"/>
                <w:vanish w:val="false"/>
              </w:rPr>
              <w:t>2.</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Общие положения</w:t>
            </w:r>
            <w:r>
              <w:rPr>
                <w:webHidden/>
              </w:rPr>
              <w:fldChar w:fldCharType="begin"/>
            </w:r>
            <w:r>
              <w:rPr>
                <w:webHidden/>
              </w:rPr>
              <w:instrText xml:space="preserve">PAGEREF _Toc228877199 \h</w:instrText>
            </w:r>
            <w:r>
              <w:rPr>
                <w:webHidden/>
              </w:rPr>
              <w:fldChar w:fldCharType="separate"/>
            </w:r>
            <w:r>
              <w:rPr>
                <w:rStyle w:val="Style17"/>
                <w:vanish w:val="false"/>
              </w:rPr>
              <w:tab/>
              <w:t>24</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00">
            <w:r>
              <w:rPr>
                <w:webHidden/>
                <w:rStyle w:val="Style17"/>
                <w:vanish w:val="false"/>
              </w:rPr>
              <w:t>2.1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Общие сведения о закупке</w:t>
            </w:r>
            <w:r>
              <w:rPr>
                <w:webHidden/>
              </w:rPr>
              <w:fldChar w:fldCharType="begin"/>
            </w:r>
            <w:r>
              <w:rPr>
                <w:webHidden/>
              </w:rPr>
              <w:instrText xml:space="preserve">PAGEREF _Toc228877200 \h</w:instrText>
            </w:r>
            <w:r>
              <w:rPr>
                <w:webHidden/>
              </w:rPr>
              <w:fldChar w:fldCharType="separate"/>
            </w:r>
            <w:r>
              <w:rPr>
                <w:rStyle w:val="Style17"/>
                <w:vanish w:val="false"/>
              </w:rPr>
              <w:tab/>
              <w:t>24</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01">
            <w:r>
              <w:rPr>
                <w:webHidden/>
                <w:rStyle w:val="Style17"/>
                <w:vanish w:val="false"/>
              </w:rPr>
              <w:t>2.2</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Правовой статус документов</w:t>
            </w:r>
            <w:r>
              <w:rPr>
                <w:webHidden/>
              </w:rPr>
              <w:fldChar w:fldCharType="begin"/>
            </w:r>
            <w:r>
              <w:rPr>
                <w:webHidden/>
              </w:rPr>
              <w:instrText xml:space="preserve">PAGEREF _Toc228877201 \h</w:instrText>
            </w:r>
            <w:r>
              <w:rPr>
                <w:webHidden/>
              </w:rPr>
              <w:fldChar w:fldCharType="separate"/>
            </w:r>
            <w:r>
              <w:rPr>
                <w:rStyle w:val="Style17"/>
                <w:vanish w:val="false"/>
              </w:rPr>
              <w:tab/>
              <w:t>24</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02">
            <w:r>
              <w:rPr>
                <w:webHidden/>
                <w:rStyle w:val="Style17"/>
                <w:vanish w:val="false"/>
              </w:rPr>
              <w:t>2.3</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Обжалование</w:t>
            </w:r>
            <w:r>
              <w:rPr>
                <w:webHidden/>
              </w:rPr>
              <w:fldChar w:fldCharType="begin"/>
            </w:r>
            <w:r>
              <w:rPr>
                <w:webHidden/>
              </w:rPr>
              <w:instrText xml:space="preserve">PAGEREF _Toc228877202 \h</w:instrText>
            </w:r>
            <w:r>
              <w:rPr>
                <w:webHidden/>
              </w:rPr>
              <w:fldChar w:fldCharType="separate"/>
            </w:r>
            <w:r>
              <w:rPr>
                <w:rStyle w:val="Style17"/>
                <w:vanish w:val="false"/>
              </w:rPr>
              <w:tab/>
              <w:t>25</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03">
            <w:r>
              <w:rPr>
                <w:webHidden/>
                <w:rStyle w:val="Style17"/>
                <w:vanish w:val="false"/>
              </w:rPr>
              <w:t>2.4</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Особые положения при проведении закупки с использованием ЭП</w:t>
            </w:r>
            <w:r>
              <w:rPr>
                <w:webHidden/>
              </w:rPr>
              <w:fldChar w:fldCharType="begin"/>
            </w:r>
            <w:r>
              <w:rPr>
                <w:webHidden/>
              </w:rPr>
              <w:instrText xml:space="preserve">PAGEREF _Toc228877203 \h</w:instrText>
            </w:r>
            <w:r>
              <w:rPr>
                <w:webHidden/>
              </w:rPr>
              <w:fldChar w:fldCharType="separate"/>
            </w:r>
            <w:r>
              <w:rPr>
                <w:rStyle w:val="Style17"/>
                <w:vanish w:val="false"/>
              </w:rPr>
              <w:tab/>
              <w:t>26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04">
            <w:r>
              <w:rPr>
                <w:webHidden/>
                <w:rStyle w:val="Style17"/>
                <w:vanish w:val="false"/>
              </w:rPr>
              <w:t>2.5</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Прочие положения</w:t>
            </w:r>
            <w:r>
              <w:rPr>
                <w:webHidden/>
              </w:rPr>
              <w:fldChar w:fldCharType="begin"/>
            </w:r>
            <w:r>
              <w:rPr>
                <w:webHidden/>
              </w:rPr>
              <w:instrText xml:space="preserve">PAGEREF _Toc228877204 \h</w:instrText>
            </w:r>
            <w:r>
              <w:rPr>
                <w:webHidden/>
              </w:rPr>
              <w:fldChar w:fldCharType="separate"/>
            </w:r>
            <w:r>
              <w:rPr>
                <w:rStyle w:val="Style17"/>
                <w:vanish w:val="false"/>
              </w:rPr>
              <w:tab/>
              <w:t>26</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205">
            <w:r>
              <w:rPr>
                <w:webHidden/>
                <w:rStyle w:val="Style17"/>
                <w:vanish w:val="false"/>
              </w:rPr>
              <w:t>3.</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Требования к Участникам</w:t>
            </w:r>
            <w:r>
              <w:rPr>
                <w:webHidden/>
              </w:rPr>
              <w:fldChar w:fldCharType="begin"/>
            </w:r>
            <w:r>
              <w:rPr>
                <w:webHidden/>
              </w:rPr>
              <w:instrText xml:space="preserve">PAGEREF _Toc228877205 \h</w:instrText>
            </w:r>
            <w:r>
              <w:rPr>
                <w:webHidden/>
              </w:rPr>
              <w:fldChar w:fldCharType="separate"/>
            </w:r>
            <w:r>
              <w:rPr>
                <w:rStyle w:val="Style17"/>
                <w:vanish w:val="false"/>
              </w:rPr>
              <w:tab/>
              <w:t>28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06">
            <w:r>
              <w:rPr>
                <w:webHidden/>
                <w:rStyle w:val="Style17"/>
                <w:vanish w:val="false"/>
              </w:rPr>
              <w:t>3.1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Общие требования к Участникам</w:t>
            </w:r>
            <w:r>
              <w:rPr>
                <w:webHidden/>
              </w:rPr>
              <w:fldChar w:fldCharType="begin"/>
            </w:r>
            <w:r>
              <w:rPr>
                <w:webHidden/>
              </w:rPr>
              <w:instrText xml:space="preserve">PAGEREF _Toc228877206 \h</w:instrText>
            </w:r>
            <w:r>
              <w:rPr>
                <w:webHidden/>
              </w:rPr>
              <w:fldChar w:fldCharType="separate"/>
            </w:r>
            <w:r>
              <w:rPr>
                <w:rStyle w:val="Style17"/>
                <w:vanish w:val="false"/>
              </w:rPr>
              <w:tab/>
              <w:t>28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07">
            <w:r>
              <w:rPr>
                <w:webHidden/>
                <w:rStyle w:val="Style17"/>
                <w:vanish w:val="false"/>
              </w:rPr>
              <w:t>3.2</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Генеральные подрядчики</w:t>
            </w:r>
            <w:r>
              <w:rPr>
                <w:webHidden/>
              </w:rPr>
              <w:fldChar w:fldCharType="begin"/>
            </w:r>
            <w:r>
              <w:rPr>
                <w:webHidden/>
              </w:rPr>
              <w:instrText xml:space="preserve">PAGEREF _Toc228877207 \h</w:instrText>
            </w:r>
            <w:r>
              <w:rPr>
                <w:webHidden/>
              </w:rPr>
              <w:fldChar w:fldCharType="separate"/>
            </w:r>
            <w:r>
              <w:rPr>
                <w:rStyle w:val="Style17"/>
                <w:vanish w:val="false"/>
              </w:rPr>
              <w:tab/>
              <w:t>28</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208">
            <w:r>
              <w:rPr>
                <w:webHidden/>
                <w:rStyle w:val="Style17"/>
                <w:vanish w:val="false"/>
              </w:rPr>
              <w:t>4.</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Порядок проведения закупки</w:t>
            </w:r>
            <w:r>
              <w:rPr>
                <w:webHidden/>
              </w:rPr>
              <w:fldChar w:fldCharType="begin"/>
            </w:r>
            <w:r>
              <w:rPr>
                <w:webHidden/>
              </w:rPr>
              <w:instrText xml:space="preserve">PAGEREF _Toc228877208 \h</w:instrText>
            </w:r>
            <w:r>
              <w:rPr>
                <w:webHidden/>
              </w:rPr>
              <w:fldChar w:fldCharType="separate"/>
            </w:r>
            <w:r>
              <w:rPr>
                <w:rStyle w:val="Style17"/>
                <w:vanish w:val="false"/>
              </w:rPr>
              <w:tab/>
              <w:t>30</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09">
            <w:r>
              <w:rPr>
                <w:webHidden/>
                <w:rStyle w:val="Style17"/>
                <w:vanish w:val="false"/>
              </w:rPr>
              <w:t>4.1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Общий порядок проведения закупки</w:t>
            </w:r>
            <w:r>
              <w:rPr>
                <w:webHidden/>
              </w:rPr>
              <w:fldChar w:fldCharType="begin"/>
            </w:r>
            <w:r>
              <w:rPr>
                <w:webHidden/>
              </w:rPr>
              <w:instrText xml:space="preserve">PAGEREF _Toc228877209 \h</w:instrText>
            </w:r>
            <w:r>
              <w:rPr>
                <w:webHidden/>
              </w:rPr>
              <w:fldChar w:fldCharType="separate"/>
            </w:r>
            <w:r>
              <w:rPr>
                <w:rStyle w:val="Style17"/>
                <w:vanish w:val="false"/>
              </w:rPr>
              <w:tab/>
              <w:t>30</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10">
            <w:r>
              <w:rPr>
                <w:webHidden/>
                <w:rStyle w:val="Style17"/>
                <w:vanish w:val="false"/>
              </w:rPr>
              <w:t>4.2</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Официальное размещение Извещения и Документации о закупке</w:t>
            </w:r>
            <w:r>
              <w:rPr>
                <w:webHidden/>
              </w:rPr>
              <w:fldChar w:fldCharType="begin"/>
            </w:r>
            <w:r>
              <w:rPr>
                <w:webHidden/>
              </w:rPr>
              <w:instrText xml:space="preserve">PAGEREF _Toc228877210 \h</w:instrText>
            </w:r>
            <w:r>
              <w:rPr>
                <w:webHidden/>
              </w:rPr>
              <w:fldChar w:fldCharType="separate"/>
            </w:r>
            <w:r>
              <w:rPr>
                <w:rStyle w:val="Style17"/>
                <w:vanish w:val="false"/>
              </w:rPr>
              <w:tab/>
              <w:t>32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11">
            <w:r>
              <w:rPr>
                <w:webHidden/>
                <w:rStyle w:val="Style17"/>
                <w:vanish w:val="false"/>
              </w:rPr>
              <w:t>4.3</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Подготовка заявки</w:t>
            </w:r>
            <w:r>
              <w:rPr>
                <w:webHidden/>
              </w:rPr>
              <w:fldChar w:fldCharType="begin"/>
            </w:r>
            <w:r>
              <w:rPr>
                <w:webHidden/>
              </w:rPr>
              <w:instrText xml:space="preserve">PAGEREF _Toc228877211 \h</w:instrText>
            </w:r>
            <w:r>
              <w:rPr>
                <w:webHidden/>
              </w:rPr>
              <w:fldChar w:fldCharType="separate"/>
            </w:r>
            <w:r>
              <w:rPr>
                <w:rStyle w:val="Style17"/>
                <w:vanish w:val="false"/>
              </w:rPr>
              <w:tab/>
              <w:t>32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12">
            <w:r>
              <w:rPr>
                <w:webHidden/>
                <w:rStyle w:val="Style17"/>
                <w:vanish w:val="false"/>
              </w:rPr>
              <w:t>4.4</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Разъяснение Документации о закупке</w:t>
            </w:r>
            <w:r>
              <w:rPr>
                <w:webHidden/>
              </w:rPr>
              <w:fldChar w:fldCharType="begin"/>
            </w:r>
            <w:r>
              <w:rPr>
                <w:webHidden/>
              </w:rPr>
              <w:instrText xml:space="preserve">PAGEREF _Toc228877212 \h</w:instrText>
            </w:r>
            <w:r>
              <w:rPr>
                <w:webHidden/>
              </w:rPr>
              <w:fldChar w:fldCharType="separate"/>
            </w:r>
            <w:r>
              <w:rPr>
                <w:rStyle w:val="Style17"/>
                <w:vanish w:val="false"/>
              </w:rPr>
              <w:tab/>
              <w:t>36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13">
            <w:r>
              <w:rPr>
                <w:webHidden/>
                <w:rStyle w:val="Style17"/>
                <w:vanish w:val="false"/>
              </w:rPr>
              <w:t>4.5</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Изменения Извещения и (или) Документации о закупке</w:t>
            </w:r>
            <w:r>
              <w:rPr>
                <w:webHidden/>
              </w:rPr>
              <w:fldChar w:fldCharType="begin"/>
            </w:r>
            <w:r>
              <w:rPr>
                <w:webHidden/>
              </w:rPr>
              <w:instrText xml:space="preserve">PAGEREF _Toc228877213 \h</w:instrText>
            </w:r>
            <w:r>
              <w:rPr>
                <w:webHidden/>
              </w:rPr>
              <w:fldChar w:fldCharType="separate"/>
            </w:r>
            <w:r>
              <w:rPr>
                <w:rStyle w:val="Style17"/>
                <w:vanish w:val="false"/>
              </w:rPr>
              <w:tab/>
              <w:t>36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14">
            <w:r>
              <w:rPr>
                <w:webHidden/>
                <w:rStyle w:val="Style17"/>
                <w:vanish w:val="false"/>
              </w:rPr>
              <w:t>4.6</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Подача заявок и их прием</w:t>
            </w:r>
            <w:r>
              <w:rPr>
                <w:webHidden/>
              </w:rPr>
              <w:fldChar w:fldCharType="begin"/>
            </w:r>
            <w:r>
              <w:rPr>
                <w:webHidden/>
              </w:rPr>
              <w:instrText xml:space="preserve">PAGEREF _Toc228877214 \h</w:instrText>
            </w:r>
            <w:r>
              <w:rPr>
                <w:webHidden/>
              </w:rPr>
              <w:fldChar w:fldCharType="separate"/>
            </w:r>
            <w:r>
              <w:rPr>
                <w:rStyle w:val="Style17"/>
                <w:vanish w:val="false"/>
              </w:rPr>
              <w:tab/>
              <w:t>37</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15">
            <w:r>
              <w:rPr>
                <w:webHidden/>
                <w:rStyle w:val="Style17"/>
                <w:vanish w:val="false"/>
              </w:rPr>
              <w:t>4.7</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Изменение и отзыв заявок</w:t>
            </w:r>
            <w:r>
              <w:rPr>
                <w:webHidden/>
              </w:rPr>
              <w:fldChar w:fldCharType="begin"/>
            </w:r>
            <w:r>
              <w:rPr>
                <w:webHidden/>
              </w:rPr>
              <w:instrText xml:space="preserve">PAGEREF _Toc228877215 \h</w:instrText>
            </w:r>
            <w:r>
              <w:rPr>
                <w:webHidden/>
              </w:rPr>
              <w:fldChar w:fldCharType="separate"/>
            </w:r>
            <w:r>
              <w:rPr>
                <w:rStyle w:val="Style17"/>
                <w:vanish w:val="false"/>
              </w:rPr>
              <w:tab/>
              <w:t>38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16">
            <w:r>
              <w:rPr>
                <w:webHidden/>
                <w:rStyle w:val="Style17"/>
                <w:vanish w:val="false"/>
              </w:rPr>
              <w:t>4.8</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Открытие доступа к первым частям заявок</w:t>
            </w:r>
            <w:r>
              <w:rPr>
                <w:webHidden/>
              </w:rPr>
              <w:fldChar w:fldCharType="begin"/>
            </w:r>
            <w:r>
              <w:rPr>
                <w:webHidden/>
              </w:rPr>
              <w:instrText xml:space="preserve">PAGEREF _Toc228877216 \h</w:instrText>
            </w:r>
            <w:r>
              <w:rPr>
                <w:webHidden/>
              </w:rPr>
              <w:fldChar w:fldCharType="separate"/>
            </w:r>
            <w:r>
              <w:rPr>
                <w:rStyle w:val="Style17"/>
                <w:vanish w:val="false"/>
              </w:rPr>
              <w:tab/>
              <w:t>38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17">
            <w:r>
              <w:rPr>
                <w:webHidden/>
                <w:rStyle w:val="Style17"/>
                <w:vanish w:val="false"/>
              </w:rPr>
              <w:t>4.9</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Рассмотрение первых частей заявок (отборочная стадия)</w:t>
            </w:r>
            <w:r>
              <w:rPr>
                <w:webHidden/>
              </w:rPr>
              <w:fldChar w:fldCharType="begin"/>
            </w:r>
            <w:r>
              <w:rPr>
                <w:webHidden/>
              </w:rPr>
              <w:instrText xml:space="preserve">PAGEREF _Toc228877217 \h</w:instrText>
            </w:r>
            <w:r>
              <w:rPr>
                <w:webHidden/>
              </w:rPr>
              <w:fldChar w:fldCharType="separate"/>
            </w:r>
            <w:r>
              <w:rPr>
                <w:rStyle w:val="Style17"/>
                <w:vanish w:val="false"/>
              </w:rPr>
              <w:tab/>
              <w:t>38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18">
            <w:r>
              <w:rPr>
                <w:webHidden/>
                <w:rStyle w:val="Style17"/>
                <w:vanish w:val="false"/>
              </w:rPr>
              <w:t>4.10</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Проведение аукциона</w:t>
            </w:r>
            <w:r>
              <w:rPr>
                <w:webHidden/>
              </w:rPr>
              <w:fldChar w:fldCharType="begin"/>
            </w:r>
            <w:r>
              <w:rPr>
                <w:webHidden/>
              </w:rPr>
              <w:instrText xml:space="preserve">PAGEREF _Toc228877218 \h</w:instrText>
            </w:r>
            <w:r>
              <w:rPr>
                <w:webHidden/>
              </w:rPr>
              <w:fldChar w:fldCharType="separate"/>
            </w:r>
            <w:r>
              <w:rPr>
                <w:rStyle w:val="Style17"/>
                <w:vanish w:val="false"/>
              </w:rPr>
              <w:tab/>
              <w:t>39</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19">
            <w:r>
              <w:rPr>
                <w:webHidden/>
                <w:rStyle w:val="Style17"/>
                <w:vanish w:val="false"/>
              </w:rPr>
              <w:t>4.11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Открытие доступа ко вторым частям заявок</w:t>
            </w:r>
            <w:r>
              <w:rPr>
                <w:webHidden/>
              </w:rPr>
              <w:fldChar w:fldCharType="begin"/>
            </w:r>
            <w:r>
              <w:rPr>
                <w:webHidden/>
              </w:rPr>
              <w:instrText xml:space="preserve">PAGEREF _Toc228877219 \h</w:instrText>
            </w:r>
            <w:r>
              <w:rPr>
                <w:webHidden/>
              </w:rPr>
              <w:fldChar w:fldCharType="separate"/>
            </w:r>
            <w:r>
              <w:rPr>
                <w:rStyle w:val="Style17"/>
                <w:vanish w:val="false"/>
              </w:rPr>
              <w:tab/>
              <w:t>41</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20">
            <w:r>
              <w:rPr>
                <w:webHidden/>
                <w:rStyle w:val="Style17"/>
                <w:vanish w:val="false"/>
              </w:rPr>
              <w:t>4.12</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Рассмотрение вторых частей заявок (отборочная стадия), в том числе (при необходимости) проведение аккредитации</w:t>
            </w:r>
            <w:r>
              <w:rPr>
                <w:webHidden/>
              </w:rPr>
              <w:fldChar w:fldCharType="begin"/>
            </w:r>
            <w:r>
              <w:rPr>
                <w:webHidden/>
              </w:rPr>
              <w:instrText xml:space="preserve">PAGEREF _Toc228877220 \h</w:instrText>
            </w:r>
            <w:r>
              <w:rPr>
                <w:webHidden/>
              </w:rPr>
              <w:fldChar w:fldCharType="separate"/>
            </w:r>
            <w:r>
              <w:rPr>
                <w:rStyle w:val="Style17"/>
                <w:vanish w:val="false"/>
              </w:rPr>
              <w:tab/>
              <w:t>41</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21">
            <w:r>
              <w:rPr>
                <w:webHidden/>
                <w:rStyle w:val="Style17"/>
                <w:vanish w:val="false"/>
              </w:rPr>
              <w:t>4.13</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Открытие доступа к ценовым предложениям</w:t>
            </w:r>
            <w:r>
              <w:rPr>
                <w:webHidden/>
              </w:rPr>
              <w:fldChar w:fldCharType="begin"/>
            </w:r>
            <w:r>
              <w:rPr>
                <w:webHidden/>
              </w:rPr>
              <w:instrText xml:space="preserve">PAGEREF _Toc228877221 \h</w:instrText>
            </w:r>
            <w:r>
              <w:rPr>
                <w:webHidden/>
              </w:rPr>
              <w:fldChar w:fldCharType="separate"/>
            </w:r>
            <w:r>
              <w:rPr>
                <w:rStyle w:val="Style17"/>
                <w:vanish w:val="false"/>
              </w:rPr>
              <w:tab/>
              <w:t>42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22">
            <w:r>
              <w:rPr>
                <w:webHidden/>
                <w:rStyle w:val="Style17"/>
                <w:vanish w:val="false"/>
              </w:rPr>
              <w:t>4.14</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Рассмотрение ценовых предложений (отборочная стадия)</w:t>
            </w:r>
            <w:r>
              <w:rPr>
                <w:webHidden/>
              </w:rPr>
              <w:fldChar w:fldCharType="begin"/>
            </w:r>
            <w:r>
              <w:rPr>
                <w:webHidden/>
              </w:rPr>
              <w:instrText xml:space="preserve">PAGEREF _Toc228877222 \h</w:instrText>
            </w:r>
            <w:r>
              <w:rPr>
                <w:webHidden/>
              </w:rPr>
              <w:fldChar w:fldCharType="separate"/>
            </w:r>
            <w:r>
              <w:rPr>
                <w:rStyle w:val="Style17"/>
                <w:vanish w:val="false"/>
              </w:rPr>
              <w:tab/>
              <w:t>42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23">
            <w:r>
              <w:rPr>
                <w:webHidden/>
                <w:rStyle w:val="Style17"/>
                <w:vanish w:val="false"/>
              </w:rPr>
              <w:t>4.15</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Дополнительные запросы разъяснений заявок</w:t>
            </w:r>
            <w:r>
              <w:rPr>
                <w:webHidden/>
              </w:rPr>
              <w:fldChar w:fldCharType="begin"/>
            </w:r>
            <w:r>
              <w:rPr>
                <w:webHidden/>
              </w:rPr>
              <w:instrText xml:space="preserve">PAGEREF _Toc228877223 \h</w:instrText>
            </w:r>
            <w:r>
              <w:rPr>
                <w:webHidden/>
              </w:rPr>
              <w:fldChar w:fldCharType="separate"/>
            </w:r>
            <w:r>
              <w:rPr>
                <w:rStyle w:val="Style17"/>
                <w:vanish w:val="false"/>
              </w:rPr>
              <w:tab/>
              <w:t>43</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24">
            <w:r>
              <w:rPr>
                <w:webHidden/>
                <w:rStyle w:val="Style17"/>
                <w:vanish w:val="false"/>
              </w:rPr>
              <w:t>4.16</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Оценка и сопоставление заявок</w:t>
            </w:r>
            <w:r>
              <w:rPr>
                <w:webHidden/>
              </w:rPr>
              <w:fldChar w:fldCharType="begin"/>
            </w:r>
            <w:r>
              <w:rPr>
                <w:webHidden/>
              </w:rPr>
              <w:instrText xml:space="preserve">PAGEREF _Toc228877224 \h</w:instrText>
            </w:r>
            <w:r>
              <w:rPr>
                <w:webHidden/>
              </w:rPr>
              <w:fldChar w:fldCharType="separate"/>
            </w:r>
            <w:r>
              <w:rPr>
                <w:rStyle w:val="Style17"/>
                <w:vanish w:val="false"/>
              </w:rPr>
              <w:tab/>
              <w:t>45</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25">
            <w:r>
              <w:rPr>
                <w:webHidden/>
                <w:rStyle w:val="Style17"/>
                <w:vanish w:val="false"/>
              </w:rPr>
              <w:t>4.17</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Применение законодательства о национальном режиме</w:t>
            </w:r>
            <w:r>
              <w:rPr>
                <w:webHidden/>
              </w:rPr>
              <w:fldChar w:fldCharType="begin"/>
            </w:r>
            <w:r>
              <w:rPr>
                <w:webHidden/>
              </w:rPr>
              <w:instrText xml:space="preserve">PAGEREF _Toc228877225 \h</w:instrText>
            </w:r>
            <w:r>
              <w:rPr>
                <w:webHidden/>
              </w:rPr>
              <w:fldChar w:fldCharType="separate"/>
            </w:r>
            <w:r>
              <w:rPr>
                <w:rStyle w:val="Style17"/>
                <w:vanish w:val="false"/>
              </w:rPr>
              <w:tab/>
              <w:t>45</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26">
            <w:r>
              <w:rPr>
                <w:webHidden/>
                <w:rStyle w:val="Style17"/>
                <w:vanish w:val="false"/>
              </w:rPr>
              <w:t>4.18</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Преференции в части использования российского алюминия</w:t>
            </w:r>
            <w:r>
              <w:rPr>
                <w:webHidden/>
              </w:rPr>
              <w:fldChar w:fldCharType="begin"/>
            </w:r>
            <w:r>
              <w:rPr>
                <w:webHidden/>
              </w:rPr>
              <w:instrText xml:space="preserve">PAGEREF _Toc228877226 \h</w:instrText>
            </w:r>
            <w:r>
              <w:rPr>
                <w:webHidden/>
              </w:rPr>
              <w:fldChar w:fldCharType="separate"/>
            </w:r>
            <w:r>
              <w:rPr>
                <w:rStyle w:val="Style17"/>
                <w:vanish w:val="false"/>
              </w:rPr>
              <w:tab/>
              <w:t>48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27">
            <w:r>
              <w:rPr>
                <w:webHidden/>
                <w:rStyle w:val="Style17"/>
                <w:vanish w:val="false"/>
              </w:rPr>
              <w:t>4.19</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Подведение итогов закупки (определение Победителя)</w:t>
            </w:r>
            <w:r>
              <w:rPr>
                <w:webHidden/>
              </w:rPr>
              <w:fldChar w:fldCharType="begin"/>
            </w:r>
            <w:r>
              <w:rPr>
                <w:webHidden/>
              </w:rPr>
              <w:instrText xml:space="preserve">PAGEREF _Toc228877227 \h</w:instrText>
            </w:r>
            <w:r>
              <w:rPr>
                <w:webHidden/>
              </w:rPr>
              <w:fldChar w:fldCharType="separate"/>
            </w:r>
            <w:r>
              <w:rPr>
                <w:rStyle w:val="Style17"/>
                <w:vanish w:val="false"/>
              </w:rPr>
              <w:tab/>
              <w:t>48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28">
            <w:r>
              <w:rPr>
                <w:webHidden/>
                <w:rStyle w:val="Style17"/>
                <w:vanish w:val="false"/>
              </w:rPr>
              <w:t>4.20</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Признание закупки несостоявшейся</w:t>
            </w:r>
            <w:r>
              <w:rPr>
                <w:webHidden/>
              </w:rPr>
              <w:fldChar w:fldCharType="begin"/>
            </w:r>
            <w:r>
              <w:rPr>
                <w:webHidden/>
              </w:rPr>
              <w:instrText xml:space="preserve">PAGEREF _Toc228877228 \h</w:instrText>
            </w:r>
            <w:r>
              <w:rPr>
                <w:webHidden/>
              </w:rPr>
              <w:fldChar w:fldCharType="separate"/>
            </w:r>
            <w:r>
              <w:rPr>
                <w:rStyle w:val="Style17"/>
                <w:vanish w:val="false"/>
              </w:rPr>
              <w:tab/>
              <w:t>50</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29">
            <w:r>
              <w:rPr>
                <w:webHidden/>
                <w:rStyle w:val="Style17"/>
                <w:vanish w:val="false"/>
              </w:rPr>
              <w:t>4.21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Отказ от проведения закупки (отмена закупки)</w:t>
            </w:r>
            <w:r>
              <w:rPr>
                <w:webHidden/>
              </w:rPr>
              <w:fldChar w:fldCharType="begin"/>
            </w:r>
            <w:r>
              <w:rPr>
                <w:webHidden/>
              </w:rPr>
              <w:instrText xml:space="preserve">PAGEREF _Toc228877229 \h</w:instrText>
            </w:r>
            <w:r>
              <w:rPr>
                <w:webHidden/>
              </w:rPr>
              <w:fldChar w:fldCharType="separate"/>
            </w:r>
            <w:r>
              <w:rPr>
                <w:rStyle w:val="Style17"/>
                <w:vanish w:val="false"/>
              </w:rPr>
              <w:tab/>
              <w:t>52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30">
            <w:r>
              <w:rPr>
                <w:webHidden/>
                <w:rStyle w:val="Style17"/>
                <w:vanish w:val="false"/>
              </w:rPr>
              <w:t>4.22</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Особенности проведения закупки с необходимостью обеспечения заявки</w:t>
            </w:r>
            <w:r>
              <w:rPr>
                <w:webHidden/>
              </w:rPr>
              <w:fldChar w:fldCharType="begin"/>
            </w:r>
            <w:r>
              <w:rPr>
                <w:webHidden/>
              </w:rPr>
              <w:instrText xml:space="preserve">PAGEREF _Toc228877230 \h</w:instrText>
            </w:r>
            <w:r>
              <w:rPr>
                <w:webHidden/>
              </w:rPr>
              <w:fldChar w:fldCharType="separate"/>
            </w:r>
            <w:r>
              <w:rPr>
                <w:rStyle w:val="Style17"/>
                <w:vanish w:val="false"/>
              </w:rPr>
              <w:tab/>
              <w:t>52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31">
            <w:r>
              <w:rPr>
                <w:webHidden/>
                <w:rStyle w:val="Style17"/>
                <w:vanish w:val="false"/>
              </w:rPr>
              <w:t>4.23</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Особенности проведения многолотовой закупки</w:t>
            </w:r>
            <w:r>
              <w:rPr>
                <w:webHidden/>
              </w:rPr>
              <w:fldChar w:fldCharType="begin"/>
            </w:r>
            <w:r>
              <w:rPr>
                <w:webHidden/>
              </w:rPr>
              <w:instrText xml:space="preserve">PAGEREF _Toc228877231 \h</w:instrText>
            </w:r>
            <w:r>
              <w:rPr>
                <w:webHidden/>
              </w:rPr>
              <w:fldChar w:fldCharType="separate"/>
            </w:r>
            <w:r>
              <w:rPr>
                <w:rStyle w:val="Style17"/>
                <w:vanish w:val="false"/>
              </w:rPr>
              <w:tab/>
              <w:t>55</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32">
            <w:r>
              <w:rPr>
                <w:webHidden/>
                <w:rStyle w:val="Style17"/>
                <w:vanish w:val="false"/>
              </w:rPr>
              <w:t>4.24</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Особенности проведения закупки с выбором нескольких победителей</w:t>
            </w:r>
            <w:r>
              <w:rPr>
                <w:webHidden/>
              </w:rPr>
              <w:fldChar w:fldCharType="begin"/>
            </w:r>
            <w:r>
              <w:rPr>
                <w:webHidden/>
              </w:rPr>
              <w:instrText xml:space="preserve">PAGEREF _Toc228877232 \h</w:instrText>
            </w:r>
            <w:r>
              <w:rPr>
                <w:webHidden/>
              </w:rPr>
              <w:fldChar w:fldCharType="separate"/>
            </w:r>
            <w:r>
              <w:rPr>
                <w:rStyle w:val="Style17"/>
                <w:vanish w:val="false"/>
              </w:rPr>
              <w:tab/>
              <w:t>56</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233">
            <w:r>
              <w:rPr>
                <w:webHidden/>
                <w:rStyle w:val="Style17"/>
                <w:vanish w:val="false"/>
              </w:rPr>
              <w:t>5.</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Порядок заключения Договора</w:t>
            </w:r>
            <w:r>
              <w:rPr>
                <w:webHidden/>
              </w:rPr>
              <w:fldChar w:fldCharType="begin"/>
            </w:r>
            <w:r>
              <w:rPr>
                <w:webHidden/>
              </w:rPr>
              <w:instrText xml:space="preserve">PAGEREF _Toc228877233 \h</w:instrText>
            </w:r>
            <w:r>
              <w:rPr>
                <w:webHidden/>
              </w:rPr>
              <w:fldChar w:fldCharType="separate"/>
            </w:r>
            <w:r>
              <w:rPr>
                <w:rStyle w:val="Style17"/>
                <w:vanish w:val="false"/>
              </w:rPr>
              <w:tab/>
              <w:t>58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34">
            <w:r>
              <w:rPr>
                <w:webHidden/>
                <w:rStyle w:val="Style17"/>
                <w:vanish w:val="false"/>
              </w:rPr>
              <w:t>5.1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Общие положения</w:t>
            </w:r>
            <w:r>
              <w:rPr>
                <w:webHidden/>
              </w:rPr>
              <w:fldChar w:fldCharType="begin"/>
            </w:r>
            <w:r>
              <w:rPr>
                <w:webHidden/>
              </w:rPr>
              <w:instrText xml:space="preserve">PAGEREF _Toc228877234 \h</w:instrText>
            </w:r>
            <w:r>
              <w:rPr>
                <w:webHidden/>
              </w:rPr>
              <w:fldChar w:fldCharType="separate"/>
            </w:r>
            <w:r>
              <w:rPr>
                <w:rStyle w:val="Style17"/>
                <w:vanish w:val="false"/>
              </w:rPr>
              <w:tab/>
              <w:t>58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35">
            <w:r>
              <w:rPr>
                <w:webHidden/>
                <w:rStyle w:val="Style17"/>
                <w:vanish w:val="false"/>
              </w:rPr>
              <w:t>5.2</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Заключение Договора</w:t>
            </w:r>
            <w:r>
              <w:rPr>
                <w:webHidden/>
              </w:rPr>
              <w:fldChar w:fldCharType="begin"/>
            </w:r>
            <w:r>
              <w:rPr>
                <w:webHidden/>
              </w:rPr>
              <w:instrText xml:space="preserve">PAGEREF _Toc228877235 \h</w:instrText>
            </w:r>
            <w:r>
              <w:rPr>
                <w:webHidden/>
              </w:rPr>
              <w:fldChar w:fldCharType="separate"/>
            </w:r>
            <w:r>
              <w:rPr>
                <w:rStyle w:val="Style17"/>
                <w:vanish w:val="false"/>
              </w:rPr>
              <w:tab/>
              <w:t>58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36">
            <w:r>
              <w:rPr>
                <w:webHidden/>
                <w:rStyle w:val="Style17"/>
                <w:vanish w:val="false"/>
              </w:rPr>
              <w:t>5.3</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Уклонение Победителя от заключения Договора</w:t>
            </w:r>
            <w:r>
              <w:rPr>
                <w:webHidden/>
              </w:rPr>
              <w:fldChar w:fldCharType="begin"/>
            </w:r>
            <w:r>
              <w:rPr>
                <w:webHidden/>
              </w:rPr>
              <w:instrText xml:space="preserve">PAGEREF _Toc228877236 \h</w:instrText>
            </w:r>
            <w:r>
              <w:rPr>
                <w:webHidden/>
              </w:rPr>
              <w:fldChar w:fldCharType="separate"/>
            </w:r>
            <w:r>
              <w:rPr>
                <w:rStyle w:val="Style17"/>
                <w:vanish w:val="false"/>
              </w:rPr>
              <w:tab/>
              <w:t>60</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237">
            <w:r>
              <w:rPr>
                <w:webHidden/>
                <w:rStyle w:val="Style17"/>
                <w:vanish w:val="false"/>
              </w:rPr>
              <w:t>6.</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1 – Технические требования</w:t>
            </w:r>
            <w:r>
              <w:rPr>
                <w:webHidden/>
              </w:rPr>
              <w:fldChar w:fldCharType="begin"/>
            </w:r>
            <w:r>
              <w:rPr>
                <w:webHidden/>
              </w:rPr>
              <w:instrText xml:space="preserve">PAGEREF _Toc228877237 \h</w:instrText>
            </w:r>
            <w:r>
              <w:rPr>
                <w:webHidden/>
              </w:rPr>
              <w:fldChar w:fldCharType="separate"/>
            </w:r>
            <w:r>
              <w:rPr>
                <w:rStyle w:val="Style17"/>
                <w:vanish w:val="false"/>
              </w:rPr>
              <w:tab/>
              <w:t>62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38">
            <w:r>
              <w:rPr>
                <w:webHidden/>
                <w:rStyle w:val="Style17"/>
                <w:vanish w:val="false"/>
              </w:rPr>
              <w:t>6.1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Пояснения к Техническим требованиям</w:t>
            </w:r>
            <w:r>
              <w:rPr>
                <w:webHidden/>
              </w:rPr>
              <w:fldChar w:fldCharType="begin"/>
            </w:r>
            <w:r>
              <w:rPr>
                <w:webHidden/>
              </w:rPr>
              <w:instrText xml:space="preserve">PAGEREF _Toc228877238 \h</w:instrText>
            </w:r>
            <w:r>
              <w:rPr>
                <w:webHidden/>
              </w:rPr>
              <w:fldChar w:fldCharType="separate"/>
            </w:r>
            <w:r>
              <w:rPr>
                <w:rStyle w:val="Style17"/>
                <w:vanish w:val="false"/>
              </w:rPr>
              <w:tab/>
              <w:t>62</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239">
            <w:r>
              <w:rPr>
                <w:webHidden/>
                <w:rStyle w:val="Style17"/>
                <w:vanish w:val="false"/>
              </w:rPr>
              <w:t>7.</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2 – Проект договора</w:t>
            </w:r>
            <w:r>
              <w:rPr>
                <w:webHidden/>
              </w:rPr>
              <w:fldChar w:fldCharType="begin"/>
            </w:r>
            <w:r>
              <w:rPr>
                <w:webHidden/>
              </w:rPr>
              <w:instrText xml:space="preserve">PAGEREF _Toc228877239 \h</w:instrText>
            </w:r>
            <w:r>
              <w:rPr>
                <w:webHidden/>
              </w:rPr>
              <w:fldChar w:fldCharType="separate"/>
            </w:r>
            <w:r>
              <w:rPr>
                <w:rStyle w:val="Style17"/>
                <w:vanish w:val="false"/>
              </w:rPr>
              <w:tab/>
              <w:t>63</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40">
            <w:r>
              <w:rPr>
                <w:webHidden/>
                <w:rStyle w:val="Style17"/>
                <w:vanish w:val="false"/>
              </w:rPr>
              <w:t>7.1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Пояснения к Проекту договора</w:t>
            </w:r>
            <w:r>
              <w:rPr>
                <w:webHidden/>
              </w:rPr>
              <w:fldChar w:fldCharType="begin"/>
            </w:r>
            <w:r>
              <w:rPr>
                <w:webHidden/>
              </w:rPr>
              <w:instrText xml:space="preserve">PAGEREF _Toc228877240 \h</w:instrText>
            </w:r>
            <w:r>
              <w:rPr>
                <w:webHidden/>
              </w:rPr>
              <w:fldChar w:fldCharType="separate"/>
            </w:r>
            <w:r>
              <w:rPr>
                <w:rStyle w:val="Style17"/>
                <w:vanish w:val="false"/>
              </w:rPr>
              <w:tab/>
              <w:t>63</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241">
            <w:r>
              <w:rPr>
                <w:webHidden/>
                <w:rStyle w:val="Style17"/>
                <w:vanish w:val="false"/>
              </w:rPr>
              <w:t>8.</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3 – Требования к Участникам</w:t>
            </w:r>
            <w:r>
              <w:rPr>
                <w:webHidden/>
              </w:rPr>
              <w:fldChar w:fldCharType="begin"/>
            </w:r>
            <w:r>
              <w:rPr>
                <w:webHidden/>
              </w:rPr>
              <w:instrText xml:space="preserve">PAGEREF _Toc228877241 \h</w:instrText>
            </w:r>
            <w:r>
              <w:rPr>
                <w:webHidden/>
              </w:rPr>
              <w:fldChar w:fldCharType="separate"/>
            </w:r>
            <w:r>
              <w:rPr>
                <w:rStyle w:val="Style17"/>
                <w:vanish w:val="false"/>
              </w:rPr>
              <w:tab/>
              <w:t>64</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42">
            <w:r>
              <w:rPr>
                <w:webHidden/>
                <w:rStyle w:val="Style17"/>
                <w:vanish w:val="false"/>
              </w:rPr>
              <w:t>8.1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Пояснения к требованиям к Участникам</w:t>
            </w:r>
            <w:r>
              <w:rPr>
                <w:webHidden/>
              </w:rPr>
              <w:fldChar w:fldCharType="begin"/>
            </w:r>
            <w:r>
              <w:rPr>
                <w:webHidden/>
              </w:rPr>
              <w:instrText xml:space="preserve">PAGEREF _Toc228877242 \h</w:instrText>
            </w:r>
            <w:r>
              <w:rPr>
                <w:webHidden/>
              </w:rPr>
              <w:fldChar w:fldCharType="separate"/>
            </w:r>
            <w:r>
              <w:rPr>
                <w:rStyle w:val="Style17"/>
                <w:vanish w:val="false"/>
              </w:rPr>
              <w:tab/>
              <w:t>64</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43">
            <w:r>
              <w:rPr>
                <w:webHidden/>
                <w:rStyle w:val="Style17"/>
                <w:vanish w:val="false"/>
              </w:rPr>
              <w:t>8.2</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Обязательные требования</w:t>
            </w:r>
            <w:r>
              <w:rPr>
                <w:webHidden/>
              </w:rPr>
              <w:fldChar w:fldCharType="begin"/>
            </w:r>
            <w:r>
              <w:rPr>
                <w:webHidden/>
              </w:rPr>
              <w:instrText xml:space="preserve">PAGEREF _Toc228877243 \h</w:instrText>
            </w:r>
            <w:r>
              <w:rPr>
                <w:webHidden/>
              </w:rPr>
              <w:fldChar w:fldCharType="separate"/>
            </w:r>
            <w:r>
              <w:rPr>
                <w:rStyle w:val="Style17"/>
                <w:vanish w:val="false"/>
              </w:rPr>
              <w:tab/>
              <w:t>64</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44">
            <w:r>
              <w:rPr>
                <w:webHidden/>
                <w:rStyle w:val="Style17"/>
                <w:vanish w:val="false"/>
              </w:rPr>
              <w:t>8.3</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Специальные требования</w:t>
            </w:r>
            <w:r>
              <w:rPr>
                <w:webHidden/>
              </w:rPr>
              <w:fldChar w:fldCharType="begin"/>
            </w:r>
            <w:r>
              <w:rPr>
                <w:webHidden/>
              </w:rPr>
              <w:instrText xml:space="preserve">PAGEREF _Toc228877244 \h</w:instrText>
            </w:r>
            <w:r>
              <w:rPr>
                <w:webHidden/>
              </w:rPr>
              <w:fldChar w:fldCharType="separate"/>
            </w:r>
            <w:r>
              <w:rPr>
                <w:rStyle w:val="Style17"/>
                <w:vanish w:val="false"/>
              </w:rPr>
              <w:tab/>
              <w:t>68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45">
            <w:r>
              <w:rPr>
                <w:webHidden/>
                <w:rStyle w:val="Style17"/>
                <w:vanish w:val="false"/>
              </w:rPr>
              <w:t>8.4</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Дополнительные требования к Генеральным подрядчикам</w:t>
            </w:r>
            <w:r>
              <w:rPr>
                <w:webHidden/>
              </w:rPr>
              <w:fldChar w:fldCharType="begin"/>
            </w:r>
            <w:r>
              <w:rPr>
                <w:webHidden/>
              </w:rPr>
              <w:instrText xml:space="preserve">PAGEREF _Toc228877245 \h</w:instrText>
            </w:r>
            <w:r>
              <w:rPr>
                <w:webHidden/>
              </w:rPr>
              <w:fldChar w:fldCharType="separate"/>
            </w:r>
            <w:r>
              <w:rPr>
                <w:rStyle w:val="Style17"/>
                <w:vanish w:val="false"/>
              </w:rPr>
              <w:tab/>
              <w:t>69</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246">
            <w:r>
              <w:rPr>
                <w:webHidden/>
                <w:rStyle w:val="Style17"/>
                <w:vanish w:val="false"/>
              </w:rPr>
              <w:t>9.</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4 – Образцы форм документов, включаемых в состав заявки</w:t>
            </w:r>
            <w:r>
              <w:rPr>
                <w:webHidden/>
              </w:rPr>
              <w:fldChar w:fldCharType="begin"/>
            </w:r>
            <w:r>
              <w:rPr>
                <w:webHidden/>
              </w:rPr>
              <w:instrText xml:space="preserve">PAGEREF _Toc228877246 \h</w:instrText>
            </w:r>
            <w:r>
              <w:rPr>
                <w:webHidden/>
              </w:rPr>
              <w:fldChar w:fldCharType="separate"/>
            </w:r>
            <w:r>
              <w:rPr>
                <w:rStyle w:val="Style17"/>
                <w:vanish w:val="false"/>
              </w:rPr>
              <w:tab/>
              <w:t>71</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47">
            <w:r>
              <w:rPr>
                <w:webHidden/>
                <w:rStyle w:val="Style17"/>
                <w:vanish w:val="false"/>
              </w:rPr>
              <w:t>9.1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Пояснения к Образцам форм документов, включаемых в состав заявки</w:t>
            </w:r>
            <w:r>
              <w:rPr>
                <w:webHidden/>
              </w:rPr>
              <w:fldChar w:fldCharType="begin"/>
            </w:r>
            <w:r>
              <w:rPr>
                <w:webHidden/>
              </w:rPr>
              <w:instrText xml:space="preserve">PAGEREF _Toc228877247 \h</w:instrText>
            </w:r>
            <w:r>
              <w:rPr>
                <w:webHidden/>
              </w:rPr>
              <w:fldChar w:fldCharType="separate"/>
            </w:r>
            <w:r>
              <w:rPr>
                <w:rStyle w:val="Style17"/>
                <w:vanish w:val="false"/>
              </w:rPr>
              <w:tab/>
              <w:t>71</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248">
            <w:r>
              <w:rPr>
                <w:webHidden/>
                <w:rStyle w:val="Style17"/>
                <w:vanish w:val="false"/>
              </w:rPr>
              <w:t>10.</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5 – Образцы форм документов, предоставляемых Победителем</w:t>
            </w:r>
            <w:r>
              <w:rPr>
                <w:webHidden/>
              </w:rPr>
              <w:fldChar w:fldCharType="begin"/>
            </w:r>
            <w:r>
              <w:rPr>
                <w:webHidden/>
              </w:rPr>
              <w:instrText xml:space="preserve">PAGEREF _Toc228877248 \h</w:instrText>
            </w:r>
            <w:r>
              <w:rPr>
                <w:webHidden/>
              </w:rPr>
              <w:fldChar w:fldCharType="separate"/>
            </w:r>
            <w:r>
              <w:rPr>
                <w:rStyle w:val="Style17"/>
                <w:vanish w:val="false"/>
              </w:rPr>
              <w:tab/>
              <w:t>72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49">
            <w:r>
              <w:rPr>
                <w:webHidden/>
                <w:rStyle w:val="Style17"/>
                <w:vanish w:val="false"/>
              </w:rPr>
              <w:t>10.1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Пояснения к Образцам форм документов, предоставляемых Победителем</w:t>
            </w:r>
            <w:r>
              <w:rPr>
                <w:webHidden/>
              </w:rPr>
              <w:fldChar w:fldCharType="begin"/>
            </w:r>
            <w:r>
              <w:rPr>
                <w:webHidden/>
              </w:rPr>
              <w:instrText xml:space="preserve">PAGEREF _Toc228877249 \h</w:instrText>
            </w:r>
            <w:r>
              <w:rPr>
                <w:webHidden/>
              </w:rPr>
              <w:fldChar w:fldCharType="separate"/>
            </w:r>
            <w:r>
              <w:rPr>
                <w:rStyle w:val="Style17"/>
                <w:vanish w:val="false"/>
              </w:rPr>
              <w:tab/>
              <w:t>72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50">
            <w:r>
              <w:rPr>
                <w:webHidden/>
                <w:rStyle w:val="Style17"/>
                <w:vanish w:val="false"/>
              </w:rPr>
              <w:t>10.2</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Форма справки «Сведения о цепочке собственников, включая бенефициаров (в том числе конечных)»</w:t>
            </w:r>
            <w:r>
              <w:rPr>
                <w:webHidden/>
              </w:rPr>
              <w:fldChar w:fldCharType="begin"/>
            </w:r>
            <w:r>
              <w:rPr>
                <w:webHidden/>
              </w:rPr>
              <w:instrText xml:space="preserve">PAGEREF _Toc228877250 \h</w:instrText>
            </w:r>
            <w:r>
              <w:rPr>
                <w:webHidden/>
              </w:rPr>
              <w:fldChar w:fldCharType="separate"/>
            </w:r>
            <w:r>
              <w:rPr>
                <w:rStyle w:val="Style17"/>
                <w:vanish w:val="false"/>
              </w:rPr>
              <w:tab/>
              <w:t>72</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51">
            <w:r>
              <w:rPr>
                <w:webHidden/>
                <w:rStyle w:val="Style17"/>
                <w:vanish w:val="false"/>
              </w:rPr>
              <w:t>10.3</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Форма «Заверение об обстоятельствах»</w:t>
            </w:r>
            <w:r>
              <w:rPr>
                <w:webHidden/>
              </w:rPr>
              <w:fldChar w:fldCharType="begin"/>
            </w:r>
            <w:r>
              <w:rPr>
                <w:webHidden/>
              </w:rPr>
              <w:instrText xml:space="preserve">PAGEREF _Toc228877251 \h</w:instrText>
            </w:r>
            <w:r>
              <w:rPr>
                <w:webHidden/>
              </w:rPr>
              <w:fldChar w:fldCharType="separate"/>
            </w:r>
            <w:r>
              <w:rPr>
                <w:rStyle w:val="Style17"/>
                <w:vanish w:val="false"/>
              </w:rPr>
              <w:tab/>
              <w:t>72</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252">
            <w:r>
              <w:rPr>
                <w:webHidden/>
                <w:rStyle w:val="Style17"/>
                <w:vanish w:val="false"/>
              </w:rPr>
              <w:t>11.</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6 – Состав заявки</w:t>
            </w:r>
            <w:r>
              <w:rPr>
                <w:webHidden/>
              </w:rPr>
              <w:fldChar w:fldCharType="begin"/>
            </w:r>
            <w:r>
              <w:rPr>
                <w:webHidden/>
              </w:rPr>
              <w:instrText xml:space="preserve">PAGEREF _Toc228877252 \h</w:instrText>
            </w:r>
            <w:r>
              <w:rPr>
                <w:webHidden/>
              </w:rPr>
              <w:fldChar w:fldCharType="separate"/>
            </w:r>
            <w:r>
              <w:rPr>
                <w:rStyle w:val="Style17"/>
                <w:vanish w:val="false"/>
              </w:rPr>
              <w:tab/>
              <w:t>74</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53">
            <w:r>
              <w:rPr>
                <w:webHidden/>
                <w:rStyle w:val="Style17"/>
                <w:vanish w:val="false"/>
              </w:rPr>
              <w:t>11.1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Состав заявки</w:t>
            </w:r>
            <w:r>
              <w:rPr>
                <w:webHidden/>
              </w:rPr>
              <w:fldChar w:fldCharType="begin"/>
            </w:r>
            <w:r>
              <w:rPr>
                <w:webHidden/>
              </w:rPr>
              <w:instrText xml:space="preserve">PAGEREF _Toc228877253 \h</w:instrText>
            </w:r>
            <w:r>
              <w:rPr>
                <w:webHidden/>
              </w:rPr>
              <w:fldChar w:fldCharType="separate"/>
            </w:r>
            <w:r>
              <w:rPr>
                <w:rStyle w:val="Style17"/>
                <w:vanish w:val="false"/>
              </w:rPr>
              <w:tab/>
              <w:t>74</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254">
            <w:r>
              <w:rPr>
                <w:webHidden/>
                <w:rStyle w:val="Style17"/>
                <w:vanish w:val="false"/>
              </w:rPr>
              <w:t>12.</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7 – Отборочные критерии рассмотрения заявок</w:t>
            </w:r>
            <w:r>
              <w:rPr>
                <w:webHidden/>
              </w:rPr>
              <w:fldChar w:fldCharType="begin"/>
            </w:r>
            <w:r>
              <w:rPr>
                <w:webHidden/>
              </w:rPr>
              <w:instrText xml:space="preserve">PAGEREF _Toc228877254 \h</w:instrText>
            </w:r>
            <w:r>
              <w:rPr>
                <w:webHidden/>
              </w:rPr>
              <w:fldChar w:fldCharType="separate"/>
            </w:r>
            <w:r>
              <w:rPr>
                <w:rStyle w:val="Style17"/>
                <w:vanish w:val="false"/>
              </w:rPr>
              <w:tab/>
              <w:t>76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55">
            <w:r>
              <w:rPr>
                <w:webHidden/>
                <w:rStyle w:val="Style17"/>
                <w:vanish w:val="false"/>
              </w:rPr>
              <w:t>12.1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Отборочные критерии рассмотрения первых частей заявок</w:t>
            </w:r>
            <w:r>
              <w:rPr>
                <w:webHidden/>
              </w:rPr>
              <w:fldChar w:fldCharType="begin"/>
            </w:r>
            <w:r>
              <w:rPr>
                <w:webHidden/>
              </w:rPr>
              <w:instrText xml:space="preserve">PAGEREF _Toc228877255 \h</w:instrText>
            </w:r>
            <w:r>
              <w:rPr>
                <w:webHidden/>
              </w:rPr>
              <w:fldChar w:fldCharType="separate"/>
            </w:r>
            <w:r>
              <w:rPr>
                <w:rStyle w:val="Style17"/>
                <w:vanish w:val="false"/>
              </w:rPr>
              <w:tab/>
              <w:t>76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56">
            <w:r>
              <w:rPr>
                <w:webHidden/>
                <w:rStyle w:val="Style17"/>
                <w:vanish w:val="false"/>
              </w:rPr>
              <w:t>12.2</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Дополнительные критерии проверки первых частей заявок на соответствия условиям Документации о закупке</w:t>
            </w:r>
            <w:r>
              <w:rPr>
                <w:webHidden/>
              </w:rPr>
              <w:fldChar w:fldCharType="begin"/>
            </w:r>
            <w:r>
              <w:rPr>
                <w:webHidden/>
              </w:rPr>
              <w:instrText xml:space="preserve">PAGEREF _Toc228877256 \h</w:instrText>
            </w:r>
            <w:r>
              <w:rPr>
                <w:webHidden/>
              </w:rPr>
              <w:fldChar w:fldCharType="separate"/>
            </w:r>
            <w:r>
              <w:rPr>
                <w:rStyle w:val="Style17"/>
                <w:vanish w:val="false"/>
              </w:rPr>
              <w:tab/>
              <w:t>77</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57">
            <w:r>
              <w:rPr>
                <w:webHidden/>
                <w:rStyle w:val="Style17"/>
                <w:vanish w:val="false"/>
              </w:rPr>
              <w:t>12.3</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Отборочные критерии рассмотрения вторых частей заявок</w:t>
            </w:r>
            <w:r>
              <w:rPr>
                <w:webHidden/>
              </w:rPr>
              <w:fldChar w:fldCharType="begin"/>
            </w:r>
            <w:r>
              <w:rPr>
                <w:webHidden/>
              </w:rPr>
              <w:instrText xml:space="preserve">PAGEREF _Toc228877257 \h</w:instrText>
            </w:r>
            <w:r>
              <w:rPr>
                <w:webHidden/>
              </w:rPr>
              <w:fldChar w:fldCharType="separate"/>
            </w:r>
            <w:r>
              <w:rPr>
                <w:rStyle w:val="Style17"/>
                <w:vanish w:val="false"/>
              </w:rPr>
              <w:tab/>
              <w:t>78</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58">
            <w:r>
              <w:rPr>
                <w:webHidden/>
                <w:rStyle w:val="Style17"/>
                <w:vanish w:val="false"/>
              </w:rPr>
              <w:t>12.4</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Отборочные критерии рассмотрения ценовых предложений</w:t>
            </w:r>
            <w:r>
              <w:rPr>
                <w:webHidden/>
              </w:rPr>
              <w:fldChar w:fldCharType="begin"/>
            </w:r>
            <w:r>
              <w:rPr>
                <w:webHidden/>
              </w:rPr>
              <w:instrText xml:space="preserve">PAGEREF _Toc228877258 \h</w:instrText>
            </w:r>
            <w:r>
              <w:rPr>
                <w:webHidden/>
              </w:rPr>
              <w:fldChar w:fldCharType="separate"/>
            </w:r>
            <w:r>
              <w:rPr>
                <w:rStyle w:val="Style17"/>
                <w:vanish w:val="false"/>
              </w:rPr>
              <w:tab/>
              <w:t>81</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59">
            <w:r>
              <w:rPr>
                <w:webHidden/>
                <w:rStyle w:val="Style17"/>
                <w:vanish w:val="false"/>
              </w:rPr>
              <w:t>12.5</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Дополнительные критерии проверки заявок на соответствие условиям Документации о закупке</w:t>
            </w:r>
            <w:r>
              <w:rPr>
                <w:webHidden/>
              </w:rPr>
              <w:fldChar w:fldCharType="begin"/>
            </w:r>
            <w:r>
              <w:rPr>
                <w:webHidden/>
              </w:rPr>
              <w:instrText xml:space="preserve">PAGEREF _Toc228877259 \h</w:instrText>
            </w:r>
            <w:r>
              <w:rPr>
                <w:webHidden/>
              </w:rPr>
              <w:fldChar w:fldCharType="separate"/>
            </w:r>
            <w:r>
              <w:rPr>
                <w:rStyle w:val="Style17"/>
                <w:vanish w:val="false"/>
              </w:rPr>
              <w:tab/>
              <w:t>82</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260">
            <w:r>
              <w:rPr>
                <w:webHidden/>
                <w:rStyle w:val="Style17"/>
                <w:vanish w:val="false"/>
              </w:rPr>
              <w:t>13.</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8 – Порядок и критерии оценки и сопоставления заявок</w:t>
            </w:r>
            <w:r>
              <w:rPr>
                <w:webHidden/>
              </w:rPr>
              <w:fldChar w:fldCharType="begin"/>
            </w:r>
            <w:r>
              <w:rPr>
                <w:webHidden/>
              </w:rPr>
              <w:instrText xml:space="preserve">PAGEREF _Toc228877260 \h</w:instrText>
            </w:r>
            <w:r>
              <w:rPr>
                <w:webHidden/>
              </w:rPr>
              <w:fldChar w:fldCharType="separate"/>
            </w:r>
            <w:r>
              <w:rPr>
                <w:rStyle w:val="Style17"/>
                <w:vanish w:val="false"/>
              </w:rPr>
              <w:tab/>
              <w:t>84</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61">
            <w:r>
              <w:rPr>
                <w:webHidden/>
                <w:rStyle w:val="Style17"/>
                <w:vanish w:val="false"/>
              </w:rPr>
              <w:t>13.1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Порядок и критерии оценки и сопоставления заявок</w:t>
            </w:r>
            <w:r>
              <w:rPr>
                <w:webHidden/>
              </w:rPr>
              <w:fldChar w:fldCharType="begin"/>
            </w:r>
            <w:r>
              <w:rPr>
                <w:webHidden/>
              </w:rPr>
              <w:instrText xml:space="preserve">PAGEREF _Toc228877261 \h</w:instrText>
            </w:r>
            <w:r>
              <w:rPr>
                <w:webHidden/>
              </w:rPr>
              <w:fldChar w:fldCharType="separate"/>
            </w:r>
            <w:r>
              <w:rPr>
                <w:rStyle w:val="Style17"/>
                <w:vanish w:val="false"/>
              </w:rPr>
              <w:tab/>
              <w:t>84</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262">
            <w:r>
              <w:rPr>
                <w:webHidden/>
                <w:rStyle w:val="Style17"/>
                <w:vanish w:val="false"/>
              </w:rPr>
              <w:t>14.</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9 – Обоснование НМЦ</w:t>
            </w:r>
            <w:r>
              <w:rPr>
                <w:webHidden/>
              </w:rPr>
              <w:fldChar w:fldCharType="begin"/>
            </w:r>
            <w:r>
              <w:rPr>
                <w:webHidden/>
              </w:rPr>
              <w:instrText xml:space="preserve">PAGEREF _Toc228877262 \h</w:instrText>
            </w:r>
            <w:r>
              <w:rPr>
                <w:webHidden/>
              </w:rPr>
              <w:fldChar w:fldCharType="separate"/>
            </w:r>
            <w:r>
              <w:rPr>
                <w:rStyle w:val="Style17"/>
                <w:vanish w:val="false"/>
              </w:rPr>
              <w:tab/>
              <w:t>85</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63">
            <w:r>
              <w:rPr>
                <w:webHidden/>
                <w:rStyle w:val="Style17"/>
                <w:vanish w:val="false"/>
              </w:rPr>
              <w:t>14.1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Пояснения к Обоснованию НМЦ</w:t>
            </w:r>
            <w:r>
              <w:rPr>
                <w:webHidden/>
              </w:rPr>
              <w:fldChar w:fldCharType="begin"/>
            </w:r>
            <w:r>
              <w:rPr>
                <w:webHidden/>
              </w:rPr>
              <w:instrText xml:space="preserve">PAGEREF _Toc228877263 \h</w:instrText>
            </w:r>
            <w:r>
              <w:rPr>
                <w:webHidden/>
              </w:rPr>
              <w:fldChar w:fldCharType="separate"/>
            </w:r>
            <w:r>
              <w:rPr>
                <w:rStyle w:val="Style17"/>
                <w:vanish w:val="false"/>
              </w:rPr>
              <w:tab/>
              <w:t>85</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264">
            <w:r>
              <w:rPr>
                <w:webHidden/>
                <w:rStyle w:val="Style17"/>
                <w:vanish w:val="false"/>
              </w:rPr>
              <w:t>15.</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10 – Форма Заявки на аккредитацию</w:t>
            </w:r>
            <w:r>
              <w:rPr>
                <w:webHidden/>
              </w:rPr>
              <w:fldChar w:fldCharType="begin"/>
            </w:r>
            <w:r>
              <w:rPr>
                <w:webHidden/>
              </w:rPr>
              <w:instrText xml:space="preserve">PAGEREF _Toc228877264 \h</w:instrText>
            </w:r>
            <w:r>
              <w:rPr>
                <w:webHidden/>
              </w:rPr>
              <w:fldChar w:fldCharType="separate"/>
            </w:r>
            <w:r>
              <w:rPr>
                <w:rStyle w:val="Style17"/>
                <w:vanish w:val="false"/>
              </w:rPr>
              <w:tab/>
              <w:t>86</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65">
            <w:r>
              <w:rPr>
                <w:webHidden/>
                <w:rStyle w:val="Style17"/>
                <w:vanish w:val="false"/>
              </w:rPr>
              <w:t>15.1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Пояснения к форме Заявки на аккредитацию</w:t>
            </w:r>
            <w:r>
              <w:rPr>
                <w:webHidden/>
              </w:rPr>
              <w:fldChar w:fldCharType="begin"/>
            </w:r>
            <w:r>
              <w:rPr>
                <w:webHidden/>
              </w:rPr>
              <w:instrText xml:space="preserve">PAGEREF _Toc228877265 \h</w:instrText>
            </w:r>
            <w:r>
              <w:rPr>
                <w:webHidden/>
              </w:rPr>
              <w:fldChar w:fldCharType="separate"/>
            </w:r>
            <w:r>
              <w:rPr>
                <w:rStyle w:val="Style17"/>
                <w:vanish w:val="false"/>
              </w:rPr>
              <w:tab/>
              <w:t>86</w:t>
            </w:r>
            <w:r>
              <w:rPr>
                <w:webHidden/>
              </w:rPr>
              <w:fldChar w:fldCharType="end"/>
            </w:r>
          </w:hyperlink>
        </w:p>
        <w:p>
          <w:pPr>
            <w:pStyle w:val="TOC1"/>
            <w:rPr>
              <w:rFonts w:ascii="Calibri" w:hAnsi="Calibri" w:eastAsia="" w:asciiTheme="minorHAnsi" w:eastAsiaTheme="minorEastAsia" w:hAnsiTheme="minorHAnsi"/>
              <w:b w:val="false"/>
              <w:caps w:val="false"/>
              <w:smallCaps w:val="false"/>
              <w:kern w:val="2"/>
              <w:sz w:val="24"/>
              <w:szCs w:val="24"/>
              <w:lang w:eastAsia="ru-RU"/>
              <w14:ligatures w14:val="standardContextual"/>
            </w:rPr>
          </w:pPr>
          <w:hyperlink w:anchor="_Toc228877266">
            <w:r>
              <w:rPr>
                <w:webHidden/>
                <w:rStyle w:val="Style17"/>
                <w:vanish w:val="false"/>
              </w:rPr>
              <w:t>16.</w:t>
            </w:r>
            <w:r>
              <w:rPr>
                <w:rStyle w:val="Style17"/>
                <w:rFonts w:eastAsia="" w:ascii="Calibri" w:hAnsi="Calibri" w:asciiTheme="minorHAnsi" w:eastAsiaTheme="minorEastAsia" w:hAnsiTheme="minorHAnsi"/>
                <w:b w:val="false"/>
                <w:caps w:val="false"/>
                <w:smallCaps w:val="false"/>
                <w:kern w:val="2"/>
                <w:sz w:val="24"/>
                <w:szCs w:val="24"/>
                <w:lang w:eastAsia="ru-RU"/>
                <w14:ligatures w14:val="standardContextual"/>
              </w:rPr>
              <w:tab/>
            </w:r>
            <w:r>
              <w:rPr>
                <w:rStyle w:val="Style17"/>
              </w:rPr>
              <w:t>Приложение № 11 – форма Данных бухгалтерской (финансовой) отчетности</w:t>
            </w:r>
            <w:r>
              <w:rPr>
                <w:webHidden/>
              </w:rPr>
              <w:fldChar w:fldCharType="begin"/>
            </w:r>
            <w:r>
              <w:rPr>
                <w:webHidden/>
              </w:rPr>
              <w:instrText xml:space="preserve">PAGEREF _Toc228877266 \h</w:instrText>
            </w:r>
            <w:r>
              <w:rPr>
                <w:webHidden/>
              </w:rPr>
              <w:fldChar w:fldCharType="separate"/>
            </w:r>
            <w:r>
              <w:rPr>
                <w:rStyle w:val="Style17"/>
                <w:vanish w:val="false"/>
              </w:rPr>
              <w:tab/>
              <w:t>87</w:t>
            </w:r>
            <w:r>
              <w:rPr>
                <w:webHidden/>
              </w:rPr>
              <w:fldChar w:fldCharType="end"/>
            </w:r>
          </w:hyperlink>
        </w:p>
        <w:p>
          <w:pPr>
            <w:pStyle w:val="TOC2"/>
            <w:rPr>
              <w:rFonts w:ascii="Calibri" w:hAnsi="Calibri" w:eastAsia="" w:asciiTheme="minorHAnsi" w:eastAsiaTheme="minorEastAsia" w:hAnsiTheme="minorHAnsi"/>
              <w:kern w:val="2"/>
              <w:sz w:val="24"/>
              <w:szCs w:val="24"/>
              <w:lang w:eastAsia="ru-RU"/>
              <w14:ligatures w14:val="standardContextual"/>
            </w:rPr>
          </w:pPr>
          <w:hyperlink w:anchor="_Toc228877267">
            <w:r>
              <w:rPr>
                <w:webHidden/>
                <w:rStyle w:val="Style17"/>
                <w:vanish w:val="false"/>
              </w:rPr>
              <w:t>16.1</w:t>
            </w:r>
            <w:r>
              <w:rPr>
                <w:rStyle w:val="Style17"/>
                <w:rFonts w:eastAsia="" w:ascii="Calibri" w:hAnsi="Calibri" w:asciiTheme="minorHAnsi" w:eastAsiaTheme="minorEastAsia" w:hAnsiTheme="minorHAnsi"/>
                <w:kern w:val="2"/>
                <w:sz w:val="24"/>
                <w:szCs w:val="24"/>
                <w:lang w:eastAsia="ru-RU"/>
                <w14:ligatures w14:val="standardContextual"/>
              </w:rPr>
              <w:tab/>
            </w:r>
            <w:r>
              <w:rPr>
                <w:rStyle w:val="Style17"/>
              </w:rPr>
              <w:t>Пояснения к форме Данных бухгалтерской (финансовой) отчетности</w:t>
            </w:r>
            <w:r>
              <w:rPr>
                <w:webHidden/>
              </w:rPr>
              <w:fldChar w:fldCharType="begin"/>
            </w:r>
            <w:r>
              <w:rPr>
                <w:webHidden/>
              </w:rPr>
              <w:instrText xml:space="preserve">PAGEREF _Toc228877267 \h</w:instrText>
            </w:r>
            <w:r>
              <w:rPr>
                <w:webHidden/>
              </w:rPr>
              <w:fldChar w:fldCharType="separate"/>
            </w:r>
            <w:r>
              <w:rPr>
                <w:rStyle w:val="Style17"/>
                <w:vanish w:val="false"/>
              </w:rPr>
              <w:tab/>
              <w:t>87</w:t>
            </w:r>
            <w:r>
              <w:rPr>
                <w:webHidden/>
              </w:rPr>
              <w:fldChar w:fldCharType="end"/>
            </w:r>
          </w:hyperlink>
          <w:r>
            <w:rPr>
              <w:rStyle w:val="Style17"/>
              <w:vanish w:val="false"/>
            </w:rPr>
            <w:fldChar w:fldCharType="end"/>
          </w:r>
        </w:p>
      </w:sdtContent>
    </w:sdt>
    <w:p>
      <w:pPr>
        <w:pStyle w:val="Style27"/>
        <w:jc w:val="both"/>
        <w:rPr/>
      </w:pPr>
      <w:r>
        <w:rPr/>
      </w:r>
    </w:p>
    <w:p>
      <w:pPr>
        <w:pStyle w:val="Style27"/>
        <w:keepNext w:val="true"/>
        <w:spacing w:before="60" w:after="0"/>
        <w:rPr>
          <w:rStyle w:val="Style14"/>
        </w:rPr>
      </w:pPr>
      <w:r>
        <w:rPr>
          <w:rStyle w:val="Style14"/>
        </w:rPr>
        <w:t xml:space="preserve">[Примечание (дополнительные удобства работы с Документацией о закупке; Microsoft Word | </w:t>
      </w:r>
      <w:r>
        <w:rPr>
          <w:rStyle w:val="Style14"/>
          <w:color w:val="4472C4" w:themeColor="accent1"/>
        </w:rPr>
        <w:t>AlterOffice AText – отмечены отличая для данного текстового редактора</w:t>
      </w:r>
      <w:r>
        <w:rPr>
          <w:rStyle w:val="Style14"/>
        </w:rPr>
        <w:t>):</w:t>
      </w:r>
    </w:p>
    <w:p>
      <w:pPr>
        <w:pStyle w:val="Style27"/>
        <w:numPr>
          <w:ilvl w:val="0"/>
          <w:numId w:val="8"/>
        </w:numPr>
        <w:spacing w:before="60" w:after="0"/>
        <w:ind w:left="284" w:hanging="284"/>
        <w:rPr>
          <w:rStyle w:val="Style14"/>
        </w:rPr>
      </w:pPr>
      <w:r>
        <w:rPr>
          <w:rStyle w:val="Style14"/>
        </w:rPr>
        <w:t xml:space="preserve">для навигации рекомендуется использовать боковое меню – включается на вкладке «Вид» в разделе «Отображение» опцией «Область навигации» | </w:t>
      </w:r>
      <w:r>
        <w:rPr>
          <w:rStyle w:val="Style14"/>
          <w:color w:val="4472C4" w:themeColor="accent1"/>
        </w:rPr>
        <w:t>включается на вкладке «Вид» опцией «Навигатор»</w:t>
      </w:r>
      <w:r>
        <w:rPr>
          <w:rStyle w:val="Style14"/>
        </w:rPr>
        <w:t>;</w:t>
      </w:r>
    </w:p>
    <w:p>
      <w:pPr>
        <w:pStyle w:val="Style27"/>
        <w:numPr>
          <w:ilvl w:val="0"/>
          <w:numId w:val="8"/>
        </w:numPr>
        <w:spacing w:before="60" w:after="0"/>
        <w:ind w:left="284" w:hanging="284"/>
        <w:rPr>
          <w:rStyle w:val="Style14"/>
        </w:rPr>
      </w:pPr>
      <w:r>
        <w:rPr>
          <w:rStyle w:val="Style14"/>
        </w:rPr>
        <w:t>переход по перекрестным и другим ссылкам осуществляется левым кликом мыши с</w:t>
      </w:r>
      <w:r>
        <w:rPr>
          <w:rStyle w:val="Style14"/>
          <w:lang w:val="en-US"/>
        </w:rPr>
        <w:t> </w:t>
      </w:r>
      <w:r>
        <w:rPr>
          <w:rStyle w:val="Style14"/>
        </w:rPr>
        <w:t xml:space="preserve">зажатой клавишей Ctrl, обратный возврат на место в тексте, с которого был сделан переход, осуществляется нажатием стрелки влево (←) с зажатой левой клавишей Alt </w:t>
      </w:r>
      <w:r>
        <w:rPr>
          <w:rStyle w:val="Style14"/>
          <w:color w:val="4472C4" w:themeColor="accent1"/>
        </w:rPr>
        <w:t>(обратный переход функционально не реализован в AlterOffice AText, пользуйтесь функциональностью «Навигатор»)</w:t>
      </w:r>
      <w:r>
        <w:rPr>
          <w:rStyle w:val="Style14"/>
        </w:rPr>
        <w:t>;</w:t>
      </w:r>
    </w:p>
    <w:p>
      <w:pPr>
        <w:pStyle w:val="Style27"/>
        <w:numPr>
          <w:ilvl w:val="0"/>
          <w:numId w:val="8"/>
        </w:numPr>
        <w:spacing w:before="60" w:after="0"/>
        <w:ind w:left="284" w:hanging="284"/>
        <w:rPr>
          <w:rStyle w:val="Style14"/>
        </w:rPr>
      </w:pPr>
      <w:r>
        <w:rPr>
          <w:rStyle w:val="Style14"/>
        </w:rPr>
        <w:t>открытие внедренного в текст документа (файла) осуществляется по двойному клику левой клавиши мыши по соответствующей иконке документа (файла) в</w:t>
      </w:r>
      <w:r>
        <w:rPr>
          <w:rStyle w:val="Style14"/>
          <w:lang w:val="en-US"/>
        </w:rPr>
        <w:t> </w:t>
      </w:r>
      <w:r>
        <w:rPr>
          <w:rStyle w:val="Style14"/>
        </w:rPr>
        <w:t>тексте;</w:t>
      </w:r>
    </w:p>
    <w:p>
      <w:pPr>
        <w:pStyle w:val="Style27"/>
        <w:numPr>
          <w:ilvl w:val="0"/>
          <w:numId w:val="8"/>
        </w:numPr>
        <w:spacing w:before="60" w:after="0"/>
        <w:ind w:left="284" w:hanging="284"/>
        <w:rPr>
          <w:rStyle w:val="Style14"/>
        </w:rPr>
      </w:pPr>
      <w:r>
        <w:rPr>
          <w:rStyle w:val="Style14"/>
          <w:color w:val="4472C4" w:themeColor="accent1"/>
        </w:rPr>
        <w:t>отключение затенения серыми блоками по тексту объектов, в том числе некоторых неразрывных пробелов и перекрестных ссылок: Ctrl + F8 (только для AlterOffice AText)</w:t>
      </w:r>
      <w:r>
        <w:rPr>
          <w:rStyle w:val="Style14"/>
        </w:rPr>
        <w:t>.]</w:t>
      </w:r>
    </w:p>
    <w:p>
      <w:pPr>
        <w:pStyle w:val="Style26"/>
        <w:numPr>
          <w:ilvl w:val="0"/>
          <w:numId w:val="0"/>
        </w:numPr>
        <w:ind w:left="0" w:hanging="0"/>
        <w:outlineLvl w:val="0"/>
        <w:rPr/>
      </w:pPr>
      <w:bookmarkStart w:id="0" w:name="_Toc228877194"/>
      <w:r>
        <w:rPr/>
        <w:t>Сокращения</w:t>
      </w:r>
      <w:bookmarkEnd w:id="0"/>
    </w:p>
    <w:p>
      <w:pPr>
        <w:pStyle w:val="Style27"/>
        <w:ind w:firstLine="567"/>
        <w:rPr/>
      </w:pPr>
      <w:r>
        <w:rPr>
          <w:b/>
          <w:bCs/>
        </w:rPr>
        <w:t>ГК РФ</w:t>
      </w:r>
      <w:r>
        <w:rPr/>
        <w:t xml:space="preserve"> – Гражданской кодекс Российской Федерации.</w:t>
      </w:r>
    </w:p>
    <w:p>
      <w:pPr>
        <w:pStyle w:val="Style27"/>
        <w:ind w:firstLine="567"/>
        <w:rPr/>
      </w:pPr>
      <w:r>
        <w:rPr>
          <w:b/>
          <w:bCs/>
        </w:rPr>
        <w:t>Декларация ПИРААП</w:t>
      </w:r>
      <w:r>
        <w:rPr/>
        <w:t xml:space="preserve"> – декларация о подтверждении использования при изготовлении продукции российского алюминия и (или) его полуфабрикатов с указанием их доли в общем объеме используемого алюминия и (или) его полуфабрикатов в натуральном выражении.</w:t>
      </w:r>
    </w:p>
    <w:p>
      <w:pPr>
        <w:pStyle w:val="Style27"/>
        <w:ind w:firstLine="567"/>
        <w:rPr/>
      </w:pPr>
      <w:r>
        <w:rPr>
          <w:b/>
          <w:bCs/>
        </w:rPr>
        <w:t>ЕАЭС</w:t>
      </w:r>
      <w:r>
        <w:rPr/>
        <w:t xml:space="preserve"> – Евразийский экономический союз.</w:t>
      </w:r>
    </w:p>
    <w:p>
      <w:pPr>
        <w:pStyle w:val="Style27"/>
        <w:ind w:firstLine="567"/>
        <w:rPr/>
      </w:pPr>
      <w:r>
        <w:rPr>
          <w:b/>
          <w:bCs/>
        </w:rPr>
        <w:t>ЕГРИП</w:t>
      </w:r>
      <w:r>
        <w:rPr/>
        <w:t xml:space="preserve"> – Единый государственный реестр индивидуальных предпринимателей.</w:t>
      </w:r>
    </w:p>
    <w:p>
      <w:pPr>
        <w:pStyle w:val="Style27"/>
        <w:ind w:firstLine="567"/>
        <w:rPr/>
      </w:pPr>
      <w:r>
        <w:rPr>
          <w:b/>
          <w:bCs/>
        </w:rPr>
        <w:t>ЕГРЮЛ</w:t>
      </w:r>
      <w:r>
        <w:rPr/>
        <w:t xml:space="preserve"> – Единый государственный реестр юридических лиц.</w:t>
      </w:r>
    </w:p>
    <w:p>
      <w:pPr>
        <w:pStyle w:val="Style27"/>
        <w:ind w:firstLine="567"/>
        <w:rPr/>
      </w:pPr>
      <w:r>
        <w:rPr>
          <w:b/>
          <w:bCs/>
        </w:rPr>
        <w:t>ЕИС</w:t>
      </w:r>
      <w:r>
        <w:rPr/>
        <w:t xml:space="preserve"> – Единая информационная система в сфере закупок.</w:t>
      </w:r>
    </w:p>
    <w:p>
      <w:pPr>
        <w:pStyle w:val="Style27"/>
        <w:ind w:firstLine="567"/>
        <w:rPr/>
      </w:pPr>
      <w:r>
        <w:rPr>
          <w:b/>
          <w:bCs/>
        </w:rPr>
        <w:t>Закон 44-ФЗ</w:t>
      </w:r>
      <w:r>
        <w:rPr/>
        <w:t xml:space="preserve"> – Федеральный закон от 05.04.2013 № 44-ФЗ «О контрактной системе в</w:t>
      </w:r>
      <w:r>
        <w:rPr>
          <w:lang w:val="en-US"/>
        </w:rPr>
        <w:t> </w:t>
      </w:r>
      <w:r>
        <w:rPr/>
        <w:t>сфере закупок товаров, работ, услуг для обеспечения государственных и муниципальных нужд».</w:t>
      </w:r>
    </w:p>
    <w:p>
      <w:pPr>
        <w:pStyle w:val="Style27"/>
        <w:ind w:firstLine="567"/>
        <w:rPr/>
      </w:pPr>
      <w:r>
        <w:rPr>
          <w:b/>
          <w:bCs/>
        </w:rPr>
        <w:t>Закон 209-ФЗ</w:t>
      </w:r>
      <w:r>
        <w:rPr/>
        <w:t xml:space="preserve"> – Федеральный закон от 24.07.2007 № 209-ФЗ «О развитии малого и среднего предпринимательства в Российской Федерации».</w:t>
      </w:r>
    </w:p>
    <w:p>
      <w:pPr>
        <w:pStyle w:val="Style27"/>
        <w:ind w:firstLine="567"/>
        <w:rPr/>
      </w:pPr>
      <w:r>
        <w:rPr>
          <w:b/>
          <w:bCs/>
        </w:rPr>
        <w:t>Закон 223-ФЗ</w:t>
      </w:r>
      <w:r>
        <w:rPr/>
        <w:t xml:space="preserve"> – Федеральный закон от 18.07.2011 № 223-ФЗ «О закупках товаров, работ, услуг отдельными видами юридических лиц».</w:t>
      </w:r>
    </w:p>
    <w:p>
      <w:pPr>
        <w:pStyle w:val="Style27"/>
        <w:ind w:firstLine="567"/>
        <w:rPr/>
      </w:pPr>
      <w:r>
        <w:rPr>
          <w:b/>
          <w:bCs/>
        </w:rPr>
        <w:t>Закон 255-ФЗ</w:t>
      </w:r>
      <w:r>
        <w:rPr/>
        <w:t xml:space="preserve"> – Федеральный закон от 14.07.2022 № 255-ФЗ «О контроле за деятельностью лиц, находящихся под иностранным влиянием».</w:t>
      </w:r>
    </w:p>
    <w:p>
      <w:pPr>
        <w:pStyle w:val="Style27"/>
        <w:ind w:firstLine="567"/>
        <w:rPr/>
      </w:pPr>
      <w:r>
        <w:rPr>
          <w:b/>
          <w:bCs/>
        </w:rPr>
        <w:t>Закон 422-ФЗ</w:t>
      </w:r>
      <w:r>
        <w:rPr/>
        <w:t xml:space="preserve"> – Федеральный закон от 27.11.2018 № 422-ФЗ «О проведении эксперимента по установлению специального налогового режима «Налог на профессиональный доход».</w:t>
      </w:r>
    </w:p>
    <w:p>
      <w:pPr>
        <w:pStyle w:val="Style27"/>
        <w:ind w:firstLine="567"/>
        <w:rPr/>
      </w:pPr>
      <w:r>
        <w:rPr>
          <w:b/>
          <w:bCs/>
        </w:rPr>
        <w:t>Законодательство</w:t>
      </w:r>
      <w:r>
        <w:rPr/>
        <w:t xml:space="preserve"> – законодательство Российской Федерации (если в тексте настоящей Документации о закупке прямо не указано иное).</w:t>
      </w:r>
    </w:p>
    <w:p>
      <w:pPr>
        <w:pStyle w:val="Style27"/>
        <w:ind w:firstLine="567"/>
        <w:rPr/>
      </w:pPr>
      <w:r>
        <w:rPr>
          <w:b/>
          <w:bCs/>
        </w:rPr>
        <w:t>Извещение</w:t>
      </w:r>
      <w:r>
        <w:rPr/>
        <w:t xml:space="preserve"> – извещение о проведении настоящей закупки.</w:t>
      </w:r>
    </w:p>
    <w:p>
      <w:pPr>
        <w:pStyle w:val="Style27"/>
        <w:ind w:firstLine="567"/>
        <w:rPr/>
      </w:pPr>
      <w:r>
        <w:rPr>
          <w:b/>
          <w:bCs/>
        </w:rPr>
        <w:t>ИНН</w:t>
      </w:r>
      <w:r>
        <w:rPr/>
        <w:t xml:space="preserve"> – идентификационный номер налогоплательщика.</w:t>
      </w:r>
    </w:p>
    <w:p>
      <w:pPr>
        <w:pStyle w:val="Style27"/>
        <w:ind w:firstLine="567"/>
        <w:rPr/>
      </w:pPr>
      <w:r>
        <w:rPr>
          <w:b/>
          <w:bCs/>
        </w:rPr>
        <w:t>ИФНС</w:t>
      </w:r>
      <w:r>
        <w:rPr/>
        <w:t xml:space="preserve"> – инспекция Федеральной налоговой службы Российской Федерации.</w:t>
      </w:r>
    </w:p>
    <w:p>
      <w:pPr>
        <w:pStyle w:val="Style27"/>
        <w:ind w:firstLine="567"/>
        <w:rPr/>
      </w:pPr>
      <w:r>
        <w:rPr>
          <w:b/>
          <w:bCs/>
        </w:rPr>
        <w:t>МТР</w:t>
      </w:r>
      <w:r>
        <w:rPr/>
        <w:t xml:space="preserve"> – материально-технические ресурсы.</w:t>
      </w:r>
    </w:p>
    <w:p>
      <w:pPr>
        <w:pStyle w:val="Style27"/>
        <w:ind w:firstLine="567"/>
        <w:rPr/>
      </w:pPr>
      <w:r>
        <w:rPr>
          <w:b/>
          <w:bCs/>
        </w:rPr>
        <w:t>НДС</w:t>
      </w:r>
      <w:r>
        <w:rPr/>
        <w:t xml:space="preserve"> – налог на добавленную стоимость.</w:t>
      </w:r>
    </w:p>
    <w:p>
      <w:pPr>
        <w:pStyle w:val="Style27"/>
        <w:ind w:firstLine="567"/>
        <w:rPr/>
      </w:pPr>
      <w:r>
        <w:rPr>
          <w:b/>
          <w:bCs/>
        </w:rPr>
        <w:t>НМЦ</w:t>
      </w:r>
      <w:r>
        <w:rPr/>
        <w:t xml:space="preserve"> – начальная (максимальная) цена договора.</w:t>
      </w:r>
    </w:p>
    <w:p>
      <w:pPr>
        <w:pStyle w:val="Style27"/>
        <w:ind w:firstLine="567"/>
        <w:rPr/>
      </w:pPr>
      <w:r>
        <w:rPr>
          <w:b/>
          <w:bCs/>
        </w:rPr>
        <w:t>Оператор ЭП</w:t>
      </w:r>
      <w:r>
        <w:rPr/>
        <w:t xml:space="preserve"> – оператор электронной площадки.</w:t>
      </w:r>
    </w:p>
    <w:p>
      <w:pPr>
        <w:pStyle w:val="Style27"/>
        <w:ind w:firstLine="567"/>
        <w:rPr/>
      </w:pPr>
      <w:r>
        <w:rPr>
          <w:b/>
          <w:bCs/>
        </w:rPr>
        <w:t>Официальный сайт</w:t>
      </w:r>
      <w:r>
        <w:rPr/>
        <w:t xml:space="preserve"> – официальный сайт Единой информационной системы в сфере закупок, расположенный в сети Интернет по </w:t>
      </w:r>
      <w:r>
        <w:rPr>
          <w:lang w:val="en-US"/>
        </w:rPr>
        <w:t>URL</w:t>
      </w:r>
      <w:r>
        <w:rPr/>
        <w:t>-адресу https://zakupki.gov.ru/.</w:t>
      </w:r>
    </w:p>
    <w:p>
      <w:pPr>
        <w:pStyle w:val="Style27"/>
        <w:ind w:firstLine="567"/>
        <w:rPr/>
      </w:pPr>
      <w:r>
        <w:rPr>
          <w:b/>
          <w:bCs/>
        </w:rPr>
        <w:t>Положение о закупке</w:t>
      </w:r>
      <w:r>
        <w:rPr/>
        <w:t xml:space="preserve"> – Единое Положение о закупке продукции для нужд Группы РусГидро.</w:t>
      </w:r>
    </w:p>
    <w:p>
      <w:pPr>
        <w:pStyle w:val="Style27"/>
        <w:ind w:firstLine="567"/>
        <w:rPr/>
      </w:pPr>
      <w:r>
        <w:rPr>
          <w:b/>
          <w:bCs/>
        </w:rPr>
        <w:t>Положение об аккредитации</w:t>
      </w:r>
      <w:r>
        <w:rPr/>
        <w:t xml:space="preserve"> – Единое Положение об аккредитации поставщиков продукции в Группе РусГидро, размещенное на Официальном сайте (в составе Положения о закупке).</w:t>
      </w:r>
    </w:p>
    <w:p>
      <w:pPr>
        <w:pStyle w:val="Style27"/>
        <w:ind w:firstLine="567"/>
        <w:rPr/>
      </w:pPr>
      <w:r>
        <w:rPr>
          <w:b/>
          <w:bCs/>
        </w:rPr>
        <w:t>ПП 325</w:t>
      </w:r>
      <w:r>
        <w:rPr/>
        <w:t xml:space="preserve"> – постановление Правительства Российской Федерации от 23.03.2017 № 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w:t>
      </w:r>
    </w:p>
    <w:p>
      <w:pPr>
        <w:pStyle w:val="Style27"/>
        <w:ind w:firstLine="567"/>
        <w:rPr/>
      </w:pPr>
      <w:r>
        <w:rPr>
          <w:b/>
          <w:bCs/>
        </w:rPr>
        <w:t>ПП 719</w:t>
      </w:r>
      <w:r>
        <w:rPr/>
        <w:t xml:space="preserve"> – постановление Правительства Российской Федерации от 17.07. 2014 № 719 «О подтверждении производства российской промышленной продукции».</w:t>
      </w:r>
    </w:p>
    <w:p>
      <w:pPr>
        <w:pStyle w:val="Style27"/>
        <w:ind w:firstLine="567"/>
        <w:rPr/>
      </w:pPr>
      <w:r>
        <w:rPr>
          <w:b/>
          <w:bCs/>
        </w:rPr>
        <w:t>ПП 1352</w:t>
      </w:r>
      <w:r>
        <w:rPr/>
        <w:t xml:space="preserve"> – постановление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p>
      <w:pPr>
        <w:pStyle w:val="Style27"/>
        <w:ind w:firstLine="567"/>
        <w:rPr/>
      </w:pPr>
      <w:r>
        <w:rPr>
          <w:b/>
          <w:bCs/>
        </w:rPr>
        <w:t>ПП 1875</w:t>
      </w:r>
      <w:r>
        <w:rPr/>
        <w:t xml:space="preserve"> – постановление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Style27"/>
        <w:ind w:firstLine="567"/>
        <w:rPr/>
      </w:pPr>
      <w:r>
        <w:rPr>
          <w:b/>
          <w:bCs/>
        </w:rPr>
        <w:t>Реестр МСП</w:t>
      </w:r>
      <w:r>
        <w:rPr/>
        <w:t xml:space="preserve"> – единый реестр субъектов малого и среднего предпринимательства, ведение которого осуществляется в соответствии с Законом 209-ФЗ.</w:t>
      </w:r>
    </w:p>
    <w:p>
      <w:pPr>
        <w:pStyle w:val="Style27"/>
        <w:ind w:firstLine="567"/>
        <w:rPr/>
      </w:pPr>
      <w:r>
        <w:rPr>
          <w:b/>
          <w:bCs/>
        </w:rPr>
        <w:t>Стороны</w:t>
      </w:r>
      <w:r>
        <w:rPr/>
        <w:t xml:space="preserve"> – Организатор, Заказчик и Участники, являющиеся сторонами данной закупки (при совместном упоминании).</w:t>
      </w:r>
    </w:p>
    <w:p>
      <w:pPr>
        <w:pStyle w:val="Style27"/>
        <w:ind w:firstLine="567"/>
        <w:rPr/>
      </w:pPr>
      <w:r>
        <w:rPr>
          <w:b/>
          <w:bCs/>
        </w:rPr>
        <w:t>Субъект МСП</w:t>
      </w:r>
      <w:r>
        <w:rPr/>
        <w:t xml:space="preserve"> – субъект малого и среднего предпринимательства.</w:t>
      </w:r>
    </w:p>
    <w:p>
      <w:pPr>
        <w:pStyle w:val="Style27"/>
        <w:ind w:firstLine="567"/>
        <w:rPr/>
      </w:pPr>
      <w:r>
        <w:rPr>
          <w:b/>
          <w:bCs/>
        </w:rPr>
        <w:t>ЭП</w:t>
      </w:r>
      <w:r>
        <w:rPr/>
        <w:t xml:space="preserve"> – электронная площадка.</w:t>
      </w:r>
    </w:p>
    <w:p>
      <w:pPr>
        <w:pStyle w:val="Style26"/>
        <w:numPr>
          <w:ilvl w:val="0"/>
          <w:numId w:val="0"/>
        </w:numPr>
        <w:ind w:left="0" w:hanging="0"/>
        <w:outlineLvl w:val="0"/>
        <w:rPr/>
      </w:pPr>
      <w:bookmarkStart w:id="1" w:name="_Toc228877195"/>
      <w:r>
        <w:rPr/>
        <w:t>Термины и определения</w:t>
      </w:r>
      <w:bookmarkEnd w:id="1"/>
    </w:p>
    <w:p>
      <w:pPr>
        <w:pStyle w:val="Style27"/>
        <w:ind w:firstLine="567"/>
        <w:rPr/>
      </w:pPr>
      <w:r>
        <w:rPr>
          <w:b/>
          <w:bCs/>
        </w:rPr>
        <w:t>Аккредитация</w:t>
      </w:r>
      <w:r>
        <w:rPr/>
        <w:t xml:space="preserve"> – процедура проверки заявителей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 Аккредитация проводится с целью защиты интересов Заказчика от действий недобросовестных лиц и неблагонадежных поставщиков продукции при проведении закупочных процедур и выборе Победителя и является проявлением коммерческой осмотрительности Заказчика при заключении договора (-ов) по результатам закупки. Порядок проведения данной процедуры представлен в Положении об аккредитации.</w:t>
      </w:r>
    </w:p>
    <w:p>
      <w:pPr>
        <w:pStyle w:val="Style27"/>
        <w:ind w:firstLine="567"/>
        <w:rPr/>
      </w:pPr>
      <w:r>
        <w:rPr>
          <w:b/>
          <w:bCs/>
        </w:rPr>
        <w:t>Актуализация статуса (аккредитации)</w:t>
      </w:r>
      <w:r>
        <w:rPr/>
        <w:t xml:space="preserve"> – процедура повторной проверки определенного (конкретного)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с продлением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27"/>
        <w:ind w:firstLine="567"/>
        <w:rPr/>
      </w:pPr>
      <w:r>
        <w:rPr>
          <w:b/>
          <w:bCs/>
        </w:rPr>
        <w:t>Вторая часть заявки</w:t>
      </w:r>
      <w:r>
        <w:rPr/>
        <w:t xml:space="preserve"> – комплект документов, входящих в состав заявки и содержащих сведения об Участнике и информацию о его соответствии требованиям Документации о закупке, копии документов, подтверждающих соответствие поставляемой продукции, требованиям Документации о закупке, установленным в соответствии с законодательством (в случае установления таких требований в Документации о закупке; без указания сведений о ценовом предложении Участника).</w:t>
      </w:r>
    </w:p>
    <w:p>
      <w:pPr>
        <w:pStyle w:val="Style27"/>
        <w:ind w:firstLine="567"/>
        <w:rPr/>
      </w:pPr>
      <w:r>
        <w:rPr>
          <w:b/>
          <w:bCs/>
        </w:rPr>
        <w:t>Генеральный подрядчик</w:t>
      </w:r>
      <w:r>
        <w:rPr/>
        <w:t xml:space="preserve"> – подрядчик, привлекающий к 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также генеральный исполнитель и соисполнители, генеральный поставщик и субпоставщики, в зависимости от предмета закупки.</w:t>
      </w:r>
    </w:p>
    <w:p>
      <w:pPr>
        <w:pStyle w:val="Style27"/>
        <w:ind w:firstLine="567"/>
        <w:rPr/>
      </w:pPr>
      <w:r>
        <w:rPr>
          <w:b/>
          <w:bCs/>
        </w:rPr>
        <w:t>Документация о закупке</w:t>
      </w:r>
      <w:r>
        <w:rPr/>
        <w:t xml:space="preserve"> – комплект документов, содержащий всю необходимую согласно законодательству информацию о закупке и условиях ее проведения.</w:t>
      </w:r>
    </w:p>
    <w:p>
      <w:pPr>
        <w:pStyle w:val="Style27"/>
        <w:ind w:firstLine="567"/>
        <w:rPr/>
      </w:pPr>
      <w:r>
        <w:rPr>
          <w:b/>
          <w:bCs/>
        </w:rPr>
        <w:t>Единая информационная система в сфере закупок</w:t>
      </w:r>
      <w:r>
        <w:rPr/>
        <w:t xml:space="preserve">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в установленном законодательством порядке с использованием сети Интернет посредствам Официального сайта Единой информационной системы в сфере закупок.</w:t>
      </w:r>
    </w:p>
    <w:p>
      <w:pPr>
        <w:pStyle w:val="Style27"/>
        <w:ind w:firstLine="567"/>
        <w:rPr/>
      </w:pPr>
      <w:r>
        <w:rPr>
          <w:b/>
          <w:bCs/>
        </w:rPr>
        <w:t>Единый реестр субъектов малого и среднего предпринимательства</w:t>
      </w:r>
      <w:r>
        <w:rPr/>
        <w:t xml:space="preserve"> – реестр, являющийся официальным источником сведений о юридических лицах и об индивидуальных предпринимателях,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p>
    <w:p>
      <w:pPr>
        <w:pStyle w:val="Style27"/>
        <w:ind w:firstLine="567"/>
        <w:rPr/>
      </w:pPr>
      <w:r>
        <w:rPr>
          <w:b/>
          <w:bCs/>
        </w:rPr>
        <w:t>Заказчик</w:t>
      </w:r>
      <w:r>
        <w:rPr/>
        <w:t xml:space="preserve"> – юридическое лицо, в интересах и за счет средств, которого осуществляется закупка.</w:t>
      </w:r>
    </w:p>
    <w:p>
      <w:pPr>
        <w:pStyle w:val="Style27"/>
        <w:ind w:firstLine="567"/>
        <w:rPr/>
      </w:pPr>
      <w:r>
        <w:rPr>
          <w:b/>
          <w:bCs/>
        </w:rPr>
        <w:t>Закупка</w:t>
      </w:r>
      <w:r>
        <w:rPr/>
        <w:t xml:space="preserve"> – последовательность действий, осуществляемая в соответствии с требованиями законодательства, Положением о закупке, иными локальными нормативными документами (актами) Заказчика, а для конкурентной закупки (и неконкурентной, проводимой способом состязательный отбор) дополнительно – правилами, установленными Извещением и Документацией о закупке, в результате которой производится выбор поставщика с целью заключения договора на приобретение продукции.</w:t>
      </w:r>
    </w:p>
    <w:p>
      <w:pPr>
        <w:pStyle w:val="Style27"/>
        <w:ind w:firstLine="567"/>
        <w:rPr/>
      </w:pPr>
      <w:r>
        <w:rPr>
          <w:b/>
          <w:bCs/>
        </w:rPr>
        <w:t>Закупочная комиссия</w:t>
      </w:r>
      <w:r>
        <w:rPr/>
        <w:t xml:space="preserve"> – коллегиальный орган, принимающий решения о ходе проведения соответствующей закупки (в том числе по выбору ее победителя).</w:t>
      </w:r>
    </w:p>
    <w:p>
      <w:pPr>
        <w:pStyle w:val="Style27"/>
        <w:ind w:firstLine="567"/>
        <w:rPr/>
      </w:pPr>
      <w:r>
        <w:rPr>
          <w:b/>
          <w:bCs/>
        </w:rPr>
        <w:t>Заявка (заявка на участие в закупке)</w:t>
      </w:r>
      <w:r>
        <w:rPr/>
        <w:t xml:space="preserve"> – 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 конкурентных закупок – в Извещении и (или) Документацией о закупке.</w:t>
      </w:r>
    </w:p>
    <w:p>
      <w:pPr>
        <w:pStyle w:val="Style27"/>
        <w:ind w:firstLine="567"/>
        <w:rPr/>
      </w:pPr>
      <w:r>
        <w:rPr>
          <w:b/>
          <w:bCs/>
        </w:rPr>
        <w:t>Заявка на аккредитацию</w:t>
      </w:r>
      <w:r>
        <w:rPr/>
        <w:t xml:space="preserve"> – сведения, которые Заявитель предоставляет в установленном Положением об аккредитации порядке для прохождения аккредитации.</w:t>
      </w:r>
    </w:p>
    <w:p>
      <w:pPr>
        <w:pStyle w:val="Style27"/>
        <w:ind w:firstLine="567"/>
        <w:rPr/>
      </w:pPr>
      <w:r>
        <w:rPr>
          <w:b/>
          <w:bCs/>
        </w:rPr>
        <w:t>Извещение о закупке (Извещение)</w:t>
      </w:r>
      <w:r>
        <w:rPr/>
        <w:t xml:space="preserve"> – документ, предназначенный для потенциальных Участников, публикация (размещение) которого означает официальное объявление о начале закупки (информация в объеме, определенном частью 9 статьи 4 Закона 223-ФЗ и Положением о закупке); под данным документом и соответственно его размещением также подразумевается заполнение и создание на Официальном сайте (ЕИС) и (или) ЭП соответствующей страницы на указанных ресурсах с информацией об объявленной закупке.</w:t>
      </w:r>
    </w:p>
    <w:p>
      <w:pPr>
        <w:pStyle w:val="Style27"/>
        <w:ind w:firstLine="567"/>
        <w:rPr/>
      </w:pPr>
      <w:r>
        <w:rPr>
          <w:b/>
          <w:bCs/>
        </w:rPr>
        <w:t>Интеллектуальные системы управления электросетевым хозяйством</w:t>
      </w:r>
      <w:r>
        <w:rPr/>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pPr>
        <w:pStyle w:val="Style27"/>
        <w:ind w:firstLine="567"/>
        <w:rPr/>
      </w:pPr>
      <w:r>
        <w:rPr>
          <w:b/>
          <w:bCs/>
        </w:rPr>
        <w:t>Лот</w:t>
      </w:r>
      <w:r>
        <w:rPr/>
        <w:t xml:space="preserve"> – продукция, на которую в рамках закупки допускаются подача отдельного предложения и заключение отдельного договора.</w:t>
      </w:r>
    </w:p>
    <w:p>
      <w:pPr>
        <w:pStyle w:val="Style27"/>
        <w:ind w:firstLine="567"/>
        <w:rPr/>
      </w:pPr>
      <w:r>
        <w:rPr>
          <w:b/>
          <w:bCs/>
        </w:rPr>
        <w:t>Мониторинг аккредитованных поставщиков</w:t>
      </w:r>
      <w:r>
        <w:rPr/>
        <w:t xml:space="preserve"> – процедура выборочной повторной проверки любого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без продления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27"/>
        <w:ind w:firstLine="567"/>
        <w:rPr/>
      </w:pPr>
      <w:r>
        <w:rPr>
          <w:b/>
          <w:bCs/>
        </w:rPr>
        <w:t>Начальная (максимальная) цена договора</w:t>
      </w:r>
      <w:r>
        <w:rPr/>
        <w:t xml:space="preserve"> – 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p>
    <w:p>
      <w:pPr>
        <w:pStyle w:val="Style27"/>
        <w:ind w:firstLine="567"/>
        <w:rPr/>
      </w:pPr>
      <w:r>
        <w:rPr>
          <w:b/>
          <w:bCs/>
        </w:rPr>
        <w:t>Оператор электронной площадки</w:t>
      </w:r>
      <w:r>
        <w:rPr/>
        <w:t xml:space="preserve"> – 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p>
    <w:p>
      <w:pPr>
        <w:pStyle w:val="Style27"/>
        <w:ind w:firstLine="567"/>
        <w:rPr/>
      </w:pPr>
      <w:r>
        <w:rPr>
          <w:b/>
          <w:bCs/>
        </w:rPr>
        <w:t>Организатор</w:t>
      </w:r>
      <w:r>
        <w:rPr/>
        <w:t xml:space="preserve"> – Заказчик или действующее по договору с ним юридическое лицо, выступающее Сторонним организатором закупки.</w:t>
      </w:r>
    </w:p>
    <w:p>
      <w:pPr>
        <w:pStyle w:val="Style27"/>
        <w:ind w:firstLine="567"/>
        <w:rPr/>
      </w:pPr>
      <w:r>
        <w:rPr>
          <w:b/>
          <w:bCs/>
        </w:rPr>
        <w:t>Официальное размещение</w:t>
      </w:r>
      <w:r>
        <w:rPr/>
        <w:t xml:space="preserve"> – размещение информации о закупке в ЕИС, на Официальном сайте </w:t>
      </w:r>
      <w:bookmarkStart w:id="2" w:name="_Hlk149048701"/>
      <w:r>
        <w:rPr/>
        <w:t>(с размещением копий на ЭП)</w:t>
      </w:r>
      <w:bookmarkEnd w:id="2"/>
      <w:r>
        <w:rPr/>
        <w:t>. Если окончание срока размещения приходится на нерабочий день согласно законодательству, сведения размещаются в первый рабочий день, следующий за нерабочими днями.</w:t>
      </w:r>
    </w:p>
    <w:p>
      <w:pPr>
        <w:pStyle w:val="Style27"/>
        <w:ind w:firstLine="567"/>
        <w:rPr/>
      </w:pPr>
      <w:r>
        <w:rPr>
          <w:b/>
          <w:bCs/>
        </w:rPr>
        <w:t>Первая часть заявки</w:t>
      </w:r>
      <w:r>
        <w:rPr/>
        <w:t xml:space="preserve"> – комплект документов, входящих в состав заявки и содержащих исключительно описание предлагаемой к поставке продукции, которая является предметом настоящей закупки (без указания сведений об Участнике и (или) о его ценовом предложении).</w:t>
      </w:r>
    </w:p>
    <w:p>
      <w:pPr>
        <w:pStyle w:val="Style27"/>
        <w:ind w:firstLine="567"/>
        <w:rPr/>
      </w:pPr>
      <w:r>
        <w:rPr>
          <w:b/>
          <w:bCs/>
        </w:rPr>
        <w:t>Победитель</w:t>
      </w:r>
      <w:r>
        <w:rPr/>
        <w:t xml:space="preserve"> – Участник, заявка которого соответствует требованиям Документации о закупке и который предложил наиболее низкую стоимость заявки (цену Договора)</w:t>
      </w:r>
      <w:r>
        <w:rPr>
          <w:rStyle w:val="FootnoteReference"/>
        </w:rPr>
        <w:footnoteReference w:id="2"/>
      </w:r>
      <w:r>
        <w:rPr/>
        <w:t>. В случае признания закупки несостоявшейся Единственный участник такой закупки, с которым Заказчик принял решение заключить договор по результатам закупки, в оговоренных Положением о закупке случаях приобретает обязательства Победителя по заключению договора.</w:t>
      </w:r>
    </w:p>
    <w:p>
      <w:pPr>
        <w:pStyle w:val="Style27"/>
        <w:ind w:firstLine="567"/>
        <w:rPr/>
      </w:pPr>
      <w:r>
        <w:rPr>
          <w:b/>
          <w:bCs/>
        </w:rPr>
        <w:t>Поставщик</w:t>
      </w:r>
      <w:r>
        <w:rP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p>
    <w:p>
      <w:pPr>
        <w:pStyle w:val="Style27"/>
        <w:ind w:firstLine="567"/>
        <w:rPr/>
      </w:pPr>
      <w:r>
        <w:rPr>
          <w:b/>
          <w:bCs/>
        </w:rPr>
        <w:t>Предмет закупки / предмет договора</w:t>
      </w:r>
      <w:r>
        <w:rPr/>
        <w:t xml:space="preserve"> – конкретная продукция, которую предполагается закупить в объеме и на условиях, определенных Заказчиком.</w:t>
      </w:r>
    </w:p>
    <w:p>
      <w:pPr>
        <w:pStyle w:val="Style27"/>
        <w:ind w:firstLine="567"/>
        <w:rPr/>
      </w:pPr>
      <w:r>
        <w:rPr>
          <w:b/>
          <w:bCs/>
        </w:rPr>
        <w:t>Преференция</w:t>
      </w:r>
      <w:r>
        <w:rPr/>
        <w:t xml:space="preserve"> – преимущество, которое Заказчик предоставляет определенным группам поставщиков при проведении закупок в соответствии с Единым Положением о закупке продукции для нужд Группы РусГидро.</w:t>
      </w:r>
    </w:p>
    <w:p>
      <w:pPr>
        <w:pStyle w:val="Style27"/>
        <w:ind w:firstLine="567"/>
        <w:rPr/>
      </w:pPr>
      <w:r>
        <w:rPr>
          <w:b/>
          <w:bCs/>
        </w:rPr>
        <w:t>Применение законодательства о национальном режиме</w:t>
      </w:r>
      <w:r>
        <w:rPr/>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равных условий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в соответствии с нормами, установленными законодательством.</w:t>
      </w:r>
    </w:p>
    <w:p>
      <w:pPr>
        <w:pStyle w:val="Style27"/>
        <w:ind w:firstLine="567"/>
        <w:rPr/>
      </w:pPr>
      <w:r>
        <w:rPr>
          <w:b/>
          <w:bCs/>
        </w:rPr>
        <w:t>Программное обеспечение</w:t>
      </w:r>
      <w:r>
        <w:rPr/>
        <w:t xml:space="preserve"> – программное обеспечение, включенное в единый реестр Минцифры России 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p>
    <w:p>
      <w:pPr>
        <w:pStyle w:val="Style27"/>
        <w:ind w:firstLine="567"/>
        <w:rPr/>
      </w:pPr>
      <w:r>
        <w:rPr>
          <w:b/>
          <w:bCs/>
        </w:rPr>
        <w:t>Продукция</w:t>
      </w:r>
      <w:r>
        <w:rPr/>
        <w:t xml:space="preserve"> – 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p>
    <w:p>
      <w:pPr>
        <w:pStyle w:val="Style27"/>
        <w:ind w:firstLine="567"/>
        <w:rPr/>
      </w:pPr>
      <w:r>
        <w:rPr>
          <w:b/>
          <w:bCs/>
        </w:rPr>
        <w:t>Реестр аккредитации</w:t>
      </w:r>
      <w:r>
        <w:rPr/>
        <w:t xml:space="preserve"> – перечень лиц – Заявителей, подававших Заявки на аккредитацию с указанием в отношении них результатов процедуры аккредитации.</w:t>
      </w:r>
    </w:p>
    <w:p>
      <w:pPr>
        <w:pStyle w:val="Style27"/>
        <w:ind w:firstLine="567"/>
        <w:rPr/>
      </w:pPr>
      <w:r>
        <w:rPr>
          <w:b/>
          <w:bCs/>
        </w:rPr>
        <w:t>Субъект малого и среднего предпринимательства</w:t>
      </w:r>
      <w:r>
        <w:rPr/>
        <w:t xml:space="preserve"> – определяется в соответствии с Законом 209-ФЗ. Все условия и требования данной Документации о закупке, относящиеся к субъектам МСП, распространяются также на физических лиц, не являющихся индивидуальными предпринимателями и применяющих специальный налоговый режим «Налог на профессиональный доход»</w:t>
      </w:r>
      <w:r>
        <w:rPr>
          <w:rStyle w:val="FootnoteReference"/>
        </w:rPr>
        <w:footnoteReference w:id="3"/>
      </w:r>
      <w:r>
        <w:rPr/>
        <w:t>, если иное не установлено в Документации о закупке.</w:t>
      </w:r>
    </w:p>
    <w:p>
      <w:pPr>
        <w:pStyle w:val="Style27"/>
        <w:ind w:firstLine="567"/>
        <w:rPr/>
      </w:pPr>
      <w:r>
        <w:rPr>
          <w:b/>
          <w:bCs/>
        </w:rPr>
        <w:t>Уполномоченное лицо</w:t>
      </w:r>
      <w:r>
        <w:rP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 </w:t>
      </w:r>
      <w:r>
        <w:rPr>
          <w:rFonts w:eastAsia="Calibri" w:cs="Times New Roman"/>
          <w:shd w:fill="FFFFFF" w:val="clear"/>
        </w:rPr>
        <w:t>в том числе выданной в порядке передоверия,</w:t>
      </w:r>
      <w:r>
        <w:rPr/>
        <w:t xml:space="preserve"> от имени организации, полномочия которых подтверждены соответствующими документами.</w:t>
      </w:r>
    </w:p>
    <w:p>
      <w:pPr>
        <w:pStyle w:val="Style27"/>
        <w:ind w:firstLine="567"/>
        <w:rPr/>
      </w:pPr>
      <w:r>
        <w:rPr>
          <w:b/>
          <w:bCs/>
        </w:rPr>
        <w:t>Участник</w:t>
      </w:r>
      <w:r>
        <w:rPr/>
        <w:t xml:space="preserve"> – любое юридическое лицо,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Законом 255-ФЗ), либо любое физическое лицо, в том числе индивидуальный предприниматель, выразившее заинтересованность в участии в закупке (посредством получения Документации о закупке, направления запроса о разъяснении Документации о закупке, внесения обеспечения заявки или подачи заявки на участие в закупке).</w:t>
      </w:r>
    </w:p>
    <w:p>
      <w:pPr>
        <w:pStyle w:val="Style27"/>
        <w:ind w:firstLine="567"/>
        <w:rPr/>
      </w:pPr>
      <w:r>
        <w:rPr>
          <w:b/>
          <w:bCs/>
        </w:rPr>
        <w:t>Ценовое предложение</w:t>
      </w:r>
      <w:r>
        <w:rPr/>
        <w:t xml:space="preserve"> – комплект документов, не входящих в состав заявки, но подаваемых в течение 1 (одного) рабочего дня после завершения процедуры аукциона и содержащих предложение Участника о цене Договора и (или) каждой единицы продукции, являющейся предметом Договора, и (или) формулу расчета цены Договора и (или) расходы на эксплуатацию и ремонт товаров, использование результатов работ / услуг и (или) любые иные сведения / документы, требуемые в соответствии с Документацией о закупке и содержащие информацию о ценовых параметрах предложения Участника, в соответствии с заявленной им в ходе аукциона стоимости заявки (ценой Договора).</w:t>
      </w:r>
    </w:p>
    <w:p>
      <w:pPr>
        <w:pStyle w:val="Style21"/>
        <w:rPr/>
      </w:pPr>
      <w:bookmarkStart w:id="3" w:name="_Ref125359988"/>
      <w:bookmarkStart w:id="4" w:name="_Toc228877196"/>
      <w:r>
        <w:rPr/>
        <w:t>Основные сведения о закупке</w:t>
      </w:r>
      <w:bookmarkEnd w:id="3"/>
      <w:bookmarkEnd w:id="4"/>
    </w:p>
    <w:p>
      <w:pPr>
        <w:pStyle w:val="Style22"/>
        <w:rPr/>
      </w:pPr>
      <w:bookmarkStart w:id="5" w:name="_Toc228877197"/>
      <w:r>
        <w:rPr/>
        <w:t>Статус настоящего раздела</w:t>
      </w:r>
      <w:bookmarkEnd w:id="5"/>
    </w:p>
    <w:p>
      <w:pPr>
        <w:pStyle w:val="Style23"/>
        <w:rPr/>
      </w:pPr>
      <w:r>
        <w:rPr/>
        <w:t>В настоящем разделе содержатся основные сведения о предмете, способе и иных ключевых условиях проводимой закупки.</w:t>
      </w:r>
    </w:p>
    <w:p>
      <w:pPr>
        <w:pStyle w:val="Style23"/>
        <w:rPr/>
      </w:pPr>
      <w:r>
        <w:rPr/>
        <w:t xml:space="preserve">Здесь и далее все используемые ссылки относятся к соответствующим пунктам, разделам и подразделам Документации о закупке, если прямо не указано иное; ссылки на приложения относятся к соответствующим приложениям к Документации о закупке, если прямо не указано иное. Ссылки на статьи, пункты и разделы, используемые в </w:t>
      </w:r>
      <w:hyperlink w:anchor="Прил01_ТехТребования">
        <w:r>
          <w:rPr>
            <w:rStyle w:val="Style11"/>
          </w:rPr>
          <w:t>Технических требованиях (Приложение № 1)</w:t>
        </w:r>
      </w:hyperlink>
      <w:r>
        <w:rPr>
          <w:rStyle w:val="Style11"/>
        </w:rPr>
        <w:t>,</w:t>
      </w:r>
      <w:r>
        <w:rPr/>
        <w:t xml:space="preserve"> в </w:t>
      </w:r>
      <w:hyperlink w:anchor="Прил02_ПроектДоговора">
        <w:r>
          <w:rPr>
            <w:rStyle w:val="Style11"/>
          </w:rPr>
          <w:t>Проекте договора (Приложение № 2)</w:t>
        </w:r>
      </w:hyperlink>
      <w:r>
        <w:rPr/>
        <w:t xml:space="preserve"> и иных приложениях к Документации о закупке, относятся соответственно к статьям, пунктам и разделам этих приложений к Документации о закупке. Все приложения к Документации о закупке являются ее неотъемлемыми частями.</w:t>
      </w:r>
    </w:p>
    <w:p>
      <w:pPr>
        <w:pStyle w:val="Style23"/>
        <w:rPr/>
      </w:pPr>
      <w:r>
        <w:rPr/>
        <w:t>Информация о проводимой закупке, указанная в подразделе </w:t>
      </w:r>
      <w:r>
        <w:rPr/>
        <w:fldChar w:fldCharType="begin"/>
      </w:r>
      <w:r>
        <w:rPr/>
        <w:instrText xml:space="preserve"> REF _Ref125359973 \r \h </w:instrText>
      </w:r>
      <w:r>
        <w:rPr/>
        <w:fldChar w:fldCharType="separate"/>
      </w:r>
      <w:r>
        <w:rPr/>
        <w:t>1.2</w:t>
      </w:r>
      <w:r>
        <w:rPr/>
        <w:fldChar w:fldCharType="end"/>
      </w:r>
      <w:r>
        <w:rPr/>
        <w:t>, в объеме, определенном частью 9 статьи 4 Закона 223-ФЗ, составляет Извещение о закупке.</w:t>
      </w:r>
    </w:p>
    <w:p>
      <w:pPr>
        <w:pStyle w:val="Style22"/>
        <w:spacing w:before="360" w:after="120"/>
        <w:rPr/>
      </w:pPr>
      <w:bookmarkStart w:id="6" w:name="_Ref125359973"/>
      <w:bookmarkStart w:id="7" w:name="_Ref127270076"/>
      <w:bookmarkStart w:id="8" w:name="_Ref132876309"/>
      <w:bookmarkStart w:id="9" w:name="_Toc228877198"/>
      <w:r>
        <w:rPr/>
        <w:t>Информация о проводимой закупке</w:t>
      </w:r>
      <w:bookmarkEnd w:id="6"/>
      <w:bookmarkEnd w:id="7"/>
      <w:bookmarkEnd w:id="8"/>
      <w:bookmarkEnd w:id="9"/>
    </w:p>
    <w:tbl>
      <w:tblPr>
        <w:tblStyle w:val="af9"/>
        <w:tblW w:w="9912"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127"/>
        <w:gridCol w:w="2977"/>
        <w:gridCol w:w="5808"/>
      </w:tblGrid>
      <w:tr>
        <w:trPr>
          <w:cnfStyle w:val="100000000000" w:firstRow="1" w:lastRow="0" w:firstColumn="0" w:lastColumn="0" w:oddVBand="0" w:evenVBand="0" w:oddHBand="0" w:evenHBand="0" w:firstRowFirstColumn="0" w:firstRowLastColumn="0" w:lastRowFirstColumn="0" w:lastRowLastColumn="0"/>
        </w:trPr>
        <w:tc>
          <w:tcPr>
            <w:tcW w:w="1127"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2977"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 пункта</w:t>
            </w:r>
          </w:p>
        </w:tc>
        <w:tc>
          <w:tcPr>
            <w:tcW w:w="5808"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Содержание пункта</w:t>
            </w:r>
          </w:p>
        </w:tc>
      </w:tr>
      <w:tr>
        <w:trPr/>
        <w:tc>
          <w:tcPr>
            <w:tcW w:w="1127"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0" w:name="_Ref125360980"/>
            <w:bookmarkStart w:id="11" w:name="_Ref125360980"/>
            <w:bookmarkEnd w:id="11"/>
          </w:p>
        </w:tc>
        <w:tc>
          <w:tcPr>
            <w:tcW w:w="2977"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Способ закупки:</w:t>
            </w:r>
          </w:p>
        </w:tc>
        <w:tc>
          <w:tcPr>
            <w:tcW w:w="5808"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Аукцион в электронной форме, участниками которого могут быть только субъекты МСП.</w:t>
            </w:r>
          </w:p>
        </w:tc>
      </w:tr>
      <w:tr>
        <w:trPr/>
        <w:tc>
          <w:tcPr>
            <w:tcW w:w="1127"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2" w:name="_Ref125360996"/>
            <w:bookmarkStart w:id="13" w:name="_Ref125360996"/>
            <w:bookmarkEnd w:id="13"/>
          </w:p>
        </w:tc>
        <w:tc>
          <w:tcPr>
            <w:tcW w:w="2977"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Предмет Договора</w:t>
              <w:br/>
              <w:t>(в том числе номер лота):</w:t>
            </w:r>
          </w:p>
        </w:tc>
        <w:tc>
          <w:tcPr>
            <w:tcW w:w="5808"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Лот № 41041044-ЭКСП ПРОД-2026-ДГК-АрТЭЦ: </w:t>
            </w:r>
            <w:r>
              <w:rPr>
                <w:rStyle w:val="Style8"/>
                <w:rFonts w:eastAsia="Calibri" w:cs=""/>
                <w:i w:val="false"/>
                <w:iCs w:val="false"/>
                <w:kern w:val="0"/>
                <w:sz w:val="26"/>
                <w:szCs w:val="22"/>
                <w:shd w:fill="FFFFFF" w:val="clear"/>
                <w:lang w:val="ru-RU" w:eastAsia="en-US" w:bidi="ar-SA"/>
              </w:rPr>
              <w:t>ОКПД 2: 71.12.31.001 Оказание услуг по корректировке проекта рекультивации карьера Силинский с использованием золошлаковых отходов V класса опасности с целью прохождения государственной экологической экспертизы для нужд СП «Артемовская ТЭЦ»</w:t>
            </w:r>
            <w:r>
              <w:rPr>
                <w:rFonts w:eastAsia="Calibri" w:cs=""/>
                <w:i w:val="false"/>
                <w:iCs w:val="false"/>
                <w:kern w:val="0"/>
                <w:sz w:val="26"/>
                <w:szCs w:val="22"/>
                <w:shd w:fill="FFFFFF" w:val="clear"/>
                <w:lang w:val="ru-RU" w:eastAsia="en-US" w:bidi="ar-SA"/>
              </w:rPr>
              <w:t>.</w:t>
            </w:r>
          </w:p>
        </w:tc>
      </w:tr>
      <w:tr>
        <w:trPr/>
        <w:tc>
          <w:tcPr>
            <w:tcW w:w="1127"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77"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Описание</w:t>
              <w:br/>
              <w:t>предмета закупки:</w:t>
            </w:r>
          </w:p>
        </w:tc>
        <w:tc>
          <w:tcPr>
            <w:tcW w:w="5808" w:type="dxa"/>
            <w:tcBorders/>
          </w:tcPr>
          <w:p>
            <w:pPr>
              <w:pStyle w:val="Style27"/>
              <w:widowControl w:val="false"/>
              <w:suppressAutoHyphens w:val="true"/>
              <w:spacing w:before="60" w:after="60"/>
              <w:rPr/>
            </w:pPr>
            <w:r>
              <w:rPr>
                <w:rFonts w:eastAsia="Calibri" w:cs=""/>
                <w:kern w:val="0"/>
                <w:sz w:val="26"/>
                <w:szCs w:val="22"/>
                <w:lang w:val="ru-RU" w:eastAsia="en-US" w:bidi="ar-SA"/>
              </w:rPr>
              <w:t>Подробное описание предмета закупки, в том числе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информация о количестве поставляемого товара, объема выполняемых работ, оказываемых услуг, а также место поставки товара, выполнения работы, оказания услуги, содержится в </w:t>
            </w:r>
            <w:hyperlink w:anchor="Прил01_ТехТребования">
              <w:r>
                <w:rPr>
                  <w:rStyle w:val="Style11"/>
                  <w:rFonts w:eastAsia="Calibri" w:cs=""/>
                  <w:kern w:val="0"/>
                  <w:sz w:val="26"/>
                  <w:szCs w:val="22"/>
                  <w:lang w:val="ru-RU" w:eastAsia="en-US" w:bidi="ar-SA"/>
                </w:rPr>
                <w:t>Технических требованиях (Приложении № 1)</w:t>
              </w:r>
            </w:hyperlink>
            <w:r>
              <w:rPr>
                <w:rFonts w:eastAsia="Calibri" w:cs=""/>
                <w:kern w:val="0"/>
                <w:sz w:val="26"/>
                <w:szCs w:val="22"/>
                <w:lang w:val="ru-RU" w:eastAsia="en-US" w:bidi="ar-SA"/>
              </w:rPr>
              <w:t>, в части требований, обусловленных законодательством о национальном режиме дополнительно в Структуре НМЦ (в составе Коммерческого предложения (форма 3)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r>
      <w:tr>
        <w:trPr/>
        <w:tc>
          <w:tcPr>
            <w:tcW w:w="1127"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4" w:name="_Ref125367124"/>
            <w:bookmarkStart w:id="15" w:name="_Ref125367124"/>
            <w:bookmarkEnd w:id="15"/>
          </w:p>
        </w:tc>
        <w:tc>
          <w:tcPr>
            <w:tcW w:w="2977"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Многолотовая закупка:</w:t>
            </w:r>
          </w:p>
        </w:tc>
        <w:tc>
          <w:tcPr>
            <w:tcW w:w="5808"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Нет.</w:t>
            </w:r>
          </w:p>
        </w:tc>
      </w:tr>
      <w:tr>
        <w:trPr/>
        <w:tc>
          <w:tcPr>
            <w:tcW w:w="1127"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6" w:name="_Ref125360764"/>
            <w:bookmarkStart w:id="17" w:name="_Ref125360764"/>
            <w:bookmarkEnd w:id="17"/>
          </w:p>
        </w:tc>
        <w:tc>
          <w:tcPr>
            <w:tcW w:w="2977"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Наименование и адрес ЭП, на которой проводится закупка:</w:t>
            </w:r>
          </w:p>
        </w:tc>
        <w:tc>
          <w:tcPr>
            <w:tcW w:w="5808" w:type="dxa"/>
            <w:tcBorders/>
          </w:tcPr>
          <w:p>
            <w:pPr>
              <w:pStyle w:val="Style27"/>
              <w:widowControl w:val="false"/>
              <w:suppressAutoHyphens w:val="true"/>
              <w:spacing w:before="60" w:after="60"/>
              <w:jc w:val="left"/>
              <w:rPr/>
            </w:pPr>
            <w:r>
              <w:rPr>
                <w:rStyle w:val="Style8"/>
                <w:rFonts w:eastAsia="Calibri" w:cs=""/>
                <w:i w:val="false"/>
                <w:iCs w:val="false"/>
                <w:kern w:val="0"/>
                <w:sz w:val="26"/>
                <w:szCs w:val="22"/>
                <w:shd w:fill="FFFFFF" w:val="clear"/>
                <w:lang w:val="ru-RU" w:eastAsia="en-US" w:bidi="ar-SA"/>
              </w:rPr>
              <w:t xml:space="preserve">Электронная площадка:  https://rushydro.roseltorg.ru/  </w:t>
            </w:r>
          </w:p>
          <w:p>
            <w:pPr>
              <w:pStyle w:val="Style27"/>
              <w:widowControl w:val="false"/>
              <w:suppressAutoHyphens w:val="true"/>
              <w:spacing w:before="60" w:after="60"/>
              <w:rPr/>
            </w:pPr>
            <w:r>
              <w:rPr>
                <w:rStyle w:val="Style8"/>
                <w:rFonts w:eastAsia="Calibri" w:cs=""/>
                <w:i w:val="false"/>
                <w:iCs w:val="false"/>
                <w:kern w:val="0"/>
                <w:sz w:val="26"/>
                <w:szCs w:val="22"/>
                <w:shd w:fill="FFFFFF" w:val="clear"/>
                <w:lang w:val="ru-RU" w:eastAsia="en-US" w:bidi="ar-SA"/>
              </w:rPr>
              <w:t>Регламент ЕЭТП Росэлторг, в соответствии с которым проводится закупка, размещен по адресу: https://www.roseltorg.ru/knowledge_db/docs/documents</w:t>
            </w:r>
          </w:p>
        </w:tc>
      </w:tr>
      <w:tr>
        <w:trPr/>
        <w:tc>
          <w:tcPr>
            <w:tcW w:w="1127"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8" w:name="_Ref125360970"/>
            <w:bookmarkStart w:id="19" w:name="_Ref125360970"/>
            <w:bookmarkEnd w:id="19"/>
          </w:p>
        </w:tc>
        <w:tc>
          <w:tcPr>
            <w:tcW w:w="2977"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Участники:</w:t>
            </w:r>
          </w:p>
        </w:tc>
        <w:tc>
          <w:tcPr>
            <w:tcW w:w="5808"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Участвовать в закупке могут только субъекты МСП,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p>
          <w:p>
            <w:pPr>
              <w:pStyle w:val="Style27"/>
              <w:widowControl w:val="false"/>
              <w:suppressAutoHyphens w:val="true"/>
              <w:spacing w:before="60" w:after="60"/>
              <w:rPr/>
            </w:pPr>
            <w:r>
              <w:rPr>
                <w:rFonts w:eastAsia="Calibri" w:cs=""/>
                <w:kern w:val="0"/>
                <w:sz w:val="26"/>
                <w:szCs w:val="22"/>
                <w:lang w:val="ru-RU" w:eastAsia="en-US" w:bidi="ar-SA"/>
              </w:rPr>
              <w:t xml:space="preserve">При этом Участник вправе привлекать субподрядчиков (соисполнителей), в том числе не являющихся субъектами МСП, а также указанными выше физическими лицами (в случае отсутствия в условиях </w:t>
            </w:r>
            <w:hyperlink w:anchor="Прил02_ПроектДоговора">
              <w:r>
                <w:rPr>
                  <w:rStyle w:val="Style11"/>
                  <w:rFonts w:eastAsia="Calibri" w:cs=""/>
                  <w:kern w:val="0"/>
                  <w:sz w:val="26"/>
                  <w:szCs w:val="22"/>
                  <w:lang w:val="ru-RU" w:eastAsia="en-US" w:bidi="ar-SA"/>
                </w:rPr>
                <w:t>Проекта Договора (Приложение № 2)</w:t>
              </w:r>
            </w:hyperlink>
            <w:r>
              <w:rPr>
                <w:rFonts w:eastAsia="Calibri" w:cs=""/>
                <w:kern w:val="0"/>
                <w:sz w:val="26"/>
                <w:szCs w:val="22"/>
                <w:lang w:val="ru-RU" w:eastAsia="en-US" w:bidi="ar-SA"/>
              </w:rPr>
              <w:t xml:space="preserve"> прямого запрета на привлечение к исполнению обязательств по Договору третьих лиц).</w:t>
            </w:r>
          </w:p>
        </w:tc>
      </w:tr>
      <w:tr>
        <w:trPr/>
        <w:tc>
          <w:tcPr>
            <w:tcW w:w="1127"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0" w:name="_Ref125360988"/>
            <w:bookmarkStart w:id="21" w:name="_Ref125360988"/>
            <w:bookmarkEnd w:id="21"/>
          </w:p>
        </w:tc>
        <w:tc>
          <w:tcPr>
            <w:tcW w:w="2977"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Заказчик:</w:t>
            </w:r>
          </w:p>
        </w:tc>
        <w:tc>
          <w:tcPr>
            <w:tcW w:w="5808" w:type="dxa"/>
            <w:tcBorders/>
          </w:tcPr>
          <w:p>
            <w:pPr>
              <w:pStyle w:val="Style27"/>
              <w:keepNext w:val="true"/>
              <w:widowControl w:val="false"/>
              <w:suppressAutoHyphens w:val="true"/>
              <w:spacing w:before="60" w:after="60"/>
              <w:rPr/>
            </w:pPr>
            <w:r>
              <w:rPr>
                <w:rFonts w:eastAsia="Calibri" w:cs=""/>
                <w:kern w:val="0"/>
                <w:sz w:val="26"/>
                <w:szCs w:val="22"/>
                <w:lang w:val="ru-RU" w:eastAsia="en-US" w:bidi="ar-SA"/>
              </w:rPr>
              <w:t>Наименование (полное и сокращенное): Акционерного общества «Дальневосточная генерирующая компания» (АО «ДГК»)</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нахождения: 680000, г. Хабаровск, ул. Фрунзе, д. 49</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Почтовый адрес: 680000, г. Хабаровск, ул. Фрунзе, д. 49</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Адрес электронной почты: dgk@dgk.ru</w:t>
            </w:r>
          </w:p>
          <w:p>
            <w:pPr>
              <w:pStyle w:val="Style27"/>
              <w:widowControl w:val="false"/>
              <w:suppressAutoHyphens w:val="true"/>
              <w:spacing w:before="60" w:after="60"/>
              <w:rPr/>
            </w:pPr>
            <w:r>
              <w:rPr>
                <w:rFonts w:eastAsia="Calibri" w:cs=""/>
                <w:kern w:val="0"/>
                <w:sz w:val="26"/>
                <w:szCs w:val="22"/>
                <w:lang w:val="ru-RU" w:eastAsia="en-US" w:bidi="ar-SA"/>
              </w:rPr>
              <w:t>Контактный телефон: +7 (4212) 26-42-54</w:t>
            </w:r>
          </w:p>
        </w:tc>
      </w:tr>
      <w:tr>
        <w:trPr/>
        <w:tc>
          <w:tcPr>
            <w:tcW w:w="1127"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2" w:name="_Ref125360954"/>
            <w:bookmarkStart w:id="23" w:name="_Ref125360954"/>
            <w:bookmarkEnd w:id="23"/>
          </w:p>
        </w:tc>
        <w:tc>
          <w:tcPr>
            <w:tcW w:w="2977"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Организатор:</w:t>
            </w:r>
          </w:p>
        </w:tc>
        <w:tc>
          <w:tcPr>
            <w:tcW w:w="5808" w:type="dxa"/>
            <w:tcBorders/>
          </w:tcPr>
          <w:p>
            <w:pPr>
              <w:pStyle w:val="Style27"/>
              <w:keepNext w:val="true"/>
              <w:widowControl w:val="false"/>
              <w:suppressAutoHyphens w:val="true"/>
              <w:spacing w:before="60" w:after="60"/>
              <w:rPr/>
            </w:pPr>
            <w:r>
              <w:rPr>
                <w:rFonts w:eastAsia="Calibri" w:cs=""/>
                <w:kern w:val="0"/>
                <w:sz w:val="26"/>
                <w:szCs w:val="22"/>
                <w:lang w:val="ru-RU" w:eastAsia="en-US" w:bidi="ar-SA"/>
              </w:rPr>
              <w:t>Наименование (полное и сокращенное): Акционерного общества «Дальневосточная генерирующая компания» (АО «ДГК»)</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нахождения: 680000, г. Хабаровск, ул. Фрунзе, д. 49</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Почтовый адрес: 680000, г. Хабаровск, ул. Фрунзе, д. 49</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Адрес электронной почты: dgk@dgk.ru</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Контактный телефон: +7 (4212) 26-42-54</w:t>
            </w:r>
          </w:p>
        </w:tc>
      </w:tr>
      <w:tr>
        <w:trPr/>
        <w:tc>
          <w:tcPr>
            <w:tcW w:w="1127"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4" w:name="_Ref125361238"/>
            <w:bookmarkStart w:id="25" w:name="_Ref125361238"/>
            <w:bookmarkEnd w:id="25"/>
          </w:p>
        </w:tc>
        <w:tc>
          <w:tcPr>
            <w:tcW w:w="2977"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Представитель Организатора:</w:t>
            </w:r>
          </w:p>
        </w:tc>
        <w:tc>
          <w:tcPr>
            <w:tcW w:w="5808"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Style w:val="Style8"/>
                <w:rFonts w:eastAsia="Calibri" w:cs=""/>
                <w:i w:val="false"/>
                <w:iCs w:val="false"/>
                <w:kern w:val="0"/>
                <w:sz w:val="26"/>
                <w:szCs w:val="22"/>
                <w:shd w:fill="FFFFFF" w:val="clear"/>
                <w:lang w:eastAsia="en-US" w:bidi="ar-SA"/>
              </w:rPr>
              <w:t xml:space="preserve">Контактное лицо (Ф.И.О.): </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Style w:val="Style8"/>
                <w:rFonts w:eastAsia="Calibri" w:cs=""/>
                <w:i w:val="false"/>
                <w:iCs w:val="false"/>
                <w:kern w:val="0"/>
                <w:sz w:val="26"/>
                <w:szCs w:val="22"/>
                <w:shd w:fill="FFFFFF" w:val="clear"/>
                <w:lang w:val="ru-RU" w:eastAsia="en-US" w:bidi="ar-SA"/>
              </w:rPr>
              <w:t xml:space="preserve">Корнеева Оксана Андреевна </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Style w:val="Style8"/>
                <w:rFonts w:eastAsia="Calibri" w:cs=""/>
                <w:i w:val="false"/>
                <w:iCs w:val="false"/>
                <w:kern w:val="0"/>
                <w:sz w:val="26"/>
                <w:szCs w:val="22"/>
                <w:shd w:fill="FFFFFF" w:val="clear"/>
                <w:lang w:eastAsia="en-US" w:bidi="ar-SA"/>
              </w:rPr>
              <w:t>Контактный телефон: +7(4212) 26-46-23</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Style w:val="Style8"/>
                <w:rFonts w:eastAsia="Calibri" w:cs=""/>
                <w:i w:val="false"/>
                <w:iCs w:val="false"/>
                <w:kern w:val="0"/>
                <w:sz w:val="26"/>
                <w:szCs w:val="22"/>
                <w:shd w:fill="FFFFFF" w:val="clear"/>
                <w:lang w:eastAsia="en-US" w:bidi="ar-SA"/>
              </w:rPr>
              <w:t>Адрес электронной почты: korneva-oa@dgk.ru</w:t>
            </w:r>
          </w:p>
        </w:tc>
      </w:tr>
      <w:tr>
        <w:trPr/>
        <w:tc>
          <w:tcPr>
            <w:tcW w:w="1127"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6" w:name="_Ref125362694"/>
            <w:bookmarkStart w:id="27" w:name="_Ref125362694"/>
            <w:bookmarkEnd w:id="27"/>
          </w:p>
        </w:tc>
        <w:tc>
          <w:tcPr>
            <w:tcW w:w="2977"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Официальный источник размещения информации о проведении закупки / срок, место и порядок предоставления Документации о закупке:</w:t>
            </w:r>
          </w:p>
        </w:tc>
        <w:tc>
          <w:tcPr>
            <w:tcW w:w="5808"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Документация о закупке официально размещена в ЕИС и доступна на Официальном сайте для ознакомления любым заинтересованным лицам. Официальным источником информации о ходе проведения закупки является Официальный сайт (zakupki.gov.ru).</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Документация о закупке доступна (без взимания платы) в форме электронного документа в любое время с момента официального размещения Извещения. Предоставление Документации о закупке на бумажном носителе не предусмотрено.</w:t>
            </w:r>
          </w:p>
        </w:tc>
      </w:tr>
      <w:tr>
        <w:trPr/>
        <w:tc>
          <w:tcPr>
            <w:tcW w:w="1127"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8" w:name="_Ref125360963"/>
            <w:bookmarkStart w:id="29" w:name="_Ref125360963"/>
            <w:bookmarkEnd w:id="29"/>
          </w:p>
        </w:tc>
        <w:tc>
          <w:tcPr>
            <w:tcW w:w="2977"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размещения Извещения о проведении закупки:</w:t>
            </w:r>
          </w:p>
        </w:tc>
        <w:tc>
          <w:tcPr>
            <w:tcW w:w="5808"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«10» августа 2026 г.</w:t>
            </w:r>
          </w:p>
          <w:p>
            <w:pPr>
              <w:pStyle w:val="Style27"/>
              <w:widowControl w:val="false"/>
              <w:suppressAutoHyphens w:val="true"/>
              <w:spacing w:before="60" w:after="60"/>
              <w:rPr>
                <w:rStyle w:val="Style8"/>
              </w:rPr>
            </w:pPr>
            <w:r>
              <w:rPr/>
            </w:r>
          </w:p>
        </w:tc>
      </w:tr>
      <w:tr>
        <w:trPr/>
        <w:tc>
          <w:tcPr>
            <w:tcW w:w="1127"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0" w:name="_Ref125362837"/>
            <w:bookmarkStart w:id="31" w:name="_Ref125362837"/>
            <w:bookmarkEnd w:id="31"/>
          </w:p>
        </w:tc>
        <w:tc>
          <w:tcPr>
            <w:tcW w:w="2977"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Начальная (максимальная) цена договора (цена лота):</w:t>
            </w:r>
          </w:p>
        </w:tc>
        <w:tc>
          <w:tcPr>
            <w:tcW w:w="5808"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НМЦ составляет 11 142 857,14 руб., без учета НДС.</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p>
            <w:pPr>
              <w:pStyle w:val="Style27"/>
              <w:widowControl w:val="false"/>
              <w:suppressAutoHyphens w:val="true"/>
              <w:spacing w:before="60" w:after="60"/>
              <w:rPr/>
            </w:pPr>
            <w:r>
              <w:rPr>
                <w:rFonts w:eastAsia="Calibri" w:cs=""/>
                <w:kern w:val="0"/>
                <w:sz w:val="26"/>
                <w:szCs w:val="22"/>
                <w:lang w:val="ru-RU" w:eastAsia="en-US" w:bidi="ar-SA"/>
              </w:rPr>
              <w:t xml:space="preserve">Обоснование НМЦ представлено в </w:t>
            </w:r>
            <w:hyperlink w:anchor="Прил09_ОбоснованиеНМЦ">
              <w:r>
                <w:rPr>
                  <w:rStyle w:val="Style11"/>
                  <w:rFonts w:eastAsia="Calibri" w:cs=""/>
                  <w:kern w:val="0"/>
                  <w:sz w:val="26"/>
                  <w:szCs w:val="22"/>
                  <w:lang w:val="ru-RU" w:eastAsia="en-US" w:bidi="ar-SA"/>
                </w:rPr>
                <w:t>Приложении № 9</w:t>
              </w:r>
            </w:hyperlink>
            <w:r>
              <w:rPr>
                <w:rFonts w:eastAsia="Calibri" w:cs=""/>
                <w:kern w:val="0"/>
                <w:sz w:val="26"/>
                <w:szCs w:val="22"/>
                <w:lang w:val="ru-RU" w:eastAsia="en-US" w:bidi="ar-SA"/>
              </w:rPr>
              <w:t>.</w:t>
            </w:r>
          </w:p>
        </w:tc>
      </w:tr>
      <w:tr>
        <w:trPr/>
        <w:tc>
          <w:tcPr>
            <w:tcW w:w="1127"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77"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Шаг аукциона:</w:t>
            </w:r>
          </w:p>
        </w:tc>
        <w:tc>
          <w:tcPr>
            <w:tcW w:w="5808" w:type="dxa"/>
            <w:tcBorders/>
          </w:tcPr>
          <w:p>
            <w:pPr>
              <w:pStyle w:val="Style27"/>
              <w:widowControl w:val="false"/>
              <w:suppressAutoHyphens w:val="true"/>
              <w:spacing w:before="60" w:after="60"/>
              <w:rPr/>
            </w:pPr>
            <w:r>
              <w:rPr>
                <w:rFonts w:eastAsia="Calibri" w:cs=""/>
                <w:kern w:val="0"/>
                <w:sz w:val="26"/>
                <w:szCs w:val="22"/>
                <w:lang w:val="ru-RU" w:eastAsia="en-US" w:bidi="ar-SA"/>
              </w:rPr>
              <w:t>0,5% – 5,0% от НМЦ, что составляет:</w:t>
            </w:r>
          </w:p>
          <w:p>
            <w:pPr>
              <w:pStyle w:val="Style27"/>
              <w:widowControl w:val="false"/>
              <w:suppressAutoHyphens w:val="true"/>
              <w:spacing w:before="60" w:after="60"/>
              <w:rPr/>
            </w:pPr>
            <w:r>
              <w:rPr>
                <w:rFonts w:eastAsia="Calibri" w:cs=""/>
                <w:kern w:val="0"/>
                <w:sz w:val="26"/>
                <w:szCs w:val="22"/>
                <w:lang w:val="ru-RU" w:eastAsia="en-US" w:bidi="ar-SA"/>
              </w:rPr>
              <w:t>55 714, 29 руб. – 557 142,86 руб., без учета НДС.</w:t>
            </w:r>
          </w:p>
        </w:tc>
      </w:tr>
      <w:tr>
        <w:trPr/>
        <w:tc>
          <w:tcPr>
            <w:tcW w:w="1127"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2" w:name="_Ref125363076"/>
            <w:bookmarkStart w:id="33" w:name="_Ref125363076"/>
            <w:bookmarkEnd w:id="33"/>
          </w:p>
        </w:tc>
        <w:tc>
          <w:tcPr>
            <w:tcW w:w="2977"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Обеспечение заявки на участие в закупке:</w:t>
            </w:r>
          </w:p>
        </w:tc>
        <w:tc>
          <w:tcPr>
            <w:tcW w:w="5808"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требуется.</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p>
            <w:pPr>
              <w:pStyle w:val="Style27"/>
              <w:widowControl w:val="false"/>
              <w:suppressAutoHyphens w:val="true"/>
              <w:spacing w:before="60" w:after="60"/>
              <w:rPr/>
            </w:pPr>
            <w:r>
              <w:rPr>
                <w:rStyle w:val="Style8"/>
                <w:rFonts w:eastAsia="Calibri" w:cs=""/>
                <w:i w:val="false"/>
                <w:iCs w:val="false"/>
                <w:kern w:val="0"/>
                <w:sz w:val="26"/>
                <w:szCs w:val="22"/>
                <w:shd w:fill="auto" w:val="clear"/>
                <w:lang w:val="ru-RU" w:eastAsia="en-US" w:bidi="ar-SA"/>
              </w:rPr>
              <w:t>Внимание! Для того, чтобы иметь возможность подать заявку на участие в закупке, в соответствии с Регламентом ЭП на счете Участника, открытом ему Оператором ЭП, должна быть внесена сумма в размере не менее установленной платы в соответствии с тарифами Оператора ЭП.</w:t>
            </w:r>
          </w:p>
        </w:tc>
      </w:tr>
      <w:tr>
        <w:trPr/>
        <w:tc>
          <w:tcPr>
            <w:tcW w:w="1127"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 w:name="_Ref125362995"/>
            <w:bookmarkStart w:id="35" w:name="_Ref125362995"/>
            <w:bookmarkEnd w:id="35"/>
          </w:p>
        </w:tc>
        <w:tc>
          <w:tcPr>
            <w:tcW w:w="2977"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Требования</w:t>
              <w:br/>
              <w:t>к описанию продукции:</w:t>
            </w:r>
          </w:p>
        </w:tc>
        <w:tc>
          <w:tcPr>
            <w:tcW w:w="5808" w:type="dxa"/>
            <w:tcBorders/>
          </w:tcPr>
          <w:p>
            <w:pPr>
              <w:pStyle w:val="Style27"/>
              <w:widowControl w:val="false"/>
              <w:suppressAutoHyphens w:val="true"/>
              <w:spacing w:before="60" w:after="60"/>
              <w:rPr/>
            </w:pPr>
            <w:r>
              <w:rPr>
                <w:rFonts w:eastAsia="Calibri" w:cs=""/>
                <w:kern w:val="0"/>
                <w:sz w:val="26"/>
                <w:szCs w:val="22"/>
                <w:lang w:val="ru-RU" w:eastAsia="en-US" w:bidi="ar-SA"/>
              </w:rPr>
              <w:t>Согласие (декларация) Участника на поставку продукции по установленной форме Технического предложения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на условиях, указанных в Документации о закупке и не подлежащих изменению по результатам проведения закупки, без направления Участником собственных подробных предложений.</w:t>
            </w:r>
          </w:p>
        </w:tc>
      </w:tr>
      <w:tr>
        <w:trPr/>
        <w:tc>
          <w:tcPr>
            <w:tcW w:w="1127"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77"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Применение законодательства о национальном режиме:</w:t>
            </w:r>
          </w:p>
        </w:tc>
        <w:tc>
          <w:tcPr>
            <w:tcW w:w="5808"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Национальный режим предоставляется.</w:t>
            </w:r>
          </w:p>
          <w:p>
            <w:pPr>
              <w:pStyle w:val="Style30"/>
              <w:keepNext w:val="true"/>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p>
            <w:pPr>
              <w:pStyle w:val="Style27"/>
              <w:widowControl w:val="false"/>
              <w:suppressAutoHyphens w:val="true"/>
              <w:spacing w:before="60" w:after="60"/>
              <w:rPr/>
            </w:pPr>
            <w:r>
              <w:rPr>
                <w:rFonts w:eastAsia="Calibri" w:cs=""/>
                <w:kern w:val="0"/>
                <w:sz w:val="26"/>
                <w:szCs w:val="22"/>
                <w:lang w:val="ru-RU" w:eastAsia="en-US" w:bidi="ar-SA"/>
              </w:rPr>
              <w:t>Подробнее в отношении каждой позиции закупаемой продукции указано в Структуре НМЦ (в составе Коммерческого предложения (форма 3)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r>
      <w:tr>
        <w:trPr/>
        <w:tc>
          <w:tcPr>
            <w:tcW w:w="1127"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6" w:name="_Ref125475086"/>
            <w:bookmarkStart w:id="37" w:name="_Ref125475086"/>
            <w:bookmarkEnd w:id="37"/>
          </w:p>
        </w:tc>
        <w:tc>
          <w:tcPr>
            <w:tcW w:w="2977"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и порядок</w:t>
              <w:br/>
              <w:t>подачи заявок:</w:t>
            </w:r>
          </w:p>
        </w:tc>
        <w:tc>
          <w:tcPr>
            <w:tcW w:w="5808"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Заявки подаются посредством функционала ЭП, по адресу ЭП, указанному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Заявка должна состоять из двух частей. Порядок подачи ценового предложения в рамках процедуры аукциона установлен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_Ref149649965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4.10</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1127"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8" w:name="_Ref125360779"/>
            <w:bookmarkStart w:id="39" w:name="_Ref125360779"/>
            <w:bookmarkEnd w:id="39"/>
          </w:p>
        </w:tc>
        <w:tc>
          <w:tcPr>
            <w:tcW w:w="2977"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начала; дата и время окончания срока подачи заявок:</w:t>
            </w:r>
          </w:p>
        </w:tc>
        <w:tc>
          <w:tcPr>
            <w:tcW w:w="5808"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начала подачи заявок:</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«10» августа 2026 г.</w:t>
            </w:r>
          </w:p>
          <w:p>
            <w:pPr>
              <w:pStyle w:val="Style27"/>
              <w:widowControl w:val="false"/>
              <w:suppressAutoHyphens w:val="true"/>
              <w:spacing w:before="60" w:after="60"/>
              <w:rPr/>
            </w:pPr>
            <w:r>
              <w:rPr>
                <w:rFonts w:eastAsia="Calibri" w:cs=""/>
                <w:kern w:val="0"/>
                <w:sz w:val="26"/>
                <w:szCs w:val="22"/>
                <w:lang w:val="ru-RU" w:eastAsia="en-US" w:bidi="ar-SA"/>
              </w:rPr>
              <w:t>Дата и время окончания срока подачи заявок:</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«20» августа 2026 г. в 16 ч.00 мин.</w:t>
            </w:r>
          </w:p>
          <w:p>
            <w:pPr>
              <w:pStyle w:val="Style27"/>
              <w:widowControl w:val="false"/>
              <w:suppressAutoHyphens w:val="true"/>
              <w:spacing w:before="60" w:after="60"/>
              <w:rPr/>
            </w:pPr>
            <w:r>
              <w:rPr>
                <w:rFonts w:eastAsia="Calibri" w:cs=""/>
                <w:kern w:val="0"/>
                <w:sz w:val="26"/>
                <w:szCs w:val="22"/>
                <w:lang w:val="ru-RU" w:eastAsia="en-US" w:bidi="ar-SA"/>
              </w:rPr>
              <w:t>(по местному времени Организатора).</w:t>
            </w:r>
          </w:p>
        </w:tc>
      </w:tr>
      <w:tr>
        <w:trPr/>
        <w:tc>
          <w:tcPr>
            <w:tcW w:w="1127"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77"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Срок предоставления Участникам разъяснений Документации о закупке:</w:t>
            </w:r>
          </w:p>
        </w:tc>
        <w:tc>
          <w:tcPr>
            <w:tcW w:w="5808"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и время окончания срока предоставления разъяснений:</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«20» августа 2026 г. в 16 ч. 00 мин.</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 местному времени Организатора).</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Организатор вправе не предоставлять разъяснение если запрос от Участника поступил позднее чем за 3 (три) рабочих дня до даты окончания срока подачи заявок, установленной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_Ref125360779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1.2.18</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1127"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0" w:name="_Ref125476197"/>
            <w:bookmarkStart w:id="41" w:name="_Ref125476197"/>
            <w:bookmarkEnd w:id="41"/>
          </w:p>
        </w:tc>
        <w:tc>
          <w:tcPr>
            <w:tcW w:w="2977"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открытия</w:t>
              <w:br/>
              <w:t>доступа к заявкам:</w:t>
            </w:r>
          </w:p>
        </w:tc>
        <w:tc>
          <w:tcPr>
            <w:tcW w:w="5808"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Открытие доступа к заявкам осуществляется автоматически на ЭП, расположенной по адресу согласно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1127"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2" w:name="_Ref125362733"/>
            <w:bookmarkStart w:id="43" w:name="_Ref125362733"/>
            <w:bookmarkEnd w:id="43"/>
          </w:p>
        </w:tc>
        <w:tc>
          <w:tcPr>
            <w:tcW w:w="2977"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окончания рассмотрения первых частей заявок:</w:t>
            </w:r>
          </w:p>
        </w:tc>
        <w:tc>
          <w:tcPr>
            <w:tcW w:w="5808" w:type="dxa"/>
            <w:tcBorders/>
          </w:tcPr>
          <w:p>
            <w:pPr>
              <w:pStyle w:val="Style27"/>
              <w:widowControl w:val="false"/>
              <w:suppressAutoHyphens w:val="true"/>
              <w:spacing w:before="60" w:after="60"/>
              <w:rPr/>
            </w:pPr>
            <w:r>
              <w:rPr>
                <w:rFonts w:eastAsia="Calibri" w:cs=""/>
                <w:kern w:val="0"/>
                <w:sz w:val="26"/>
                <w:szCs w:val="22"/>
                <w:lang w:val="ru-RU" w:eastAsia="en-US" w:bidi="ar-SA"/>
              </w:rPr>
              <w:t>«27» августа 2026 г.</w:t>
            </w:r>
          </w:p>
        </w:tc>
      </w:tr>
      <w:tr>
        <w:trPr/>
        <w:tc>
          <w:tcPr>
            <w:tcW w:w="1127"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77"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и время</w:t>
              <w:br/>
              <w:t>проведения аукциона:</w:t>
            </w:r>
          </w:p>
        </w:tc>
        <w:tc>
          <w:tcPr>
            <w:tcW w:w="5808"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«28» августа 2026 г. в 16 ч. 00 мин. (если иное время не установлено Оператором ЭП в автоматическом режиме)</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 местному времени Организатора).</w:t>
            </w:r>
          </w:p>
        </w:tc>
      </w:tr>
      <w:tr>
        <w:trPr/>
        <w:tc>
          <w:tcPr>
            <w:tcW w:w="1127"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77"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Срок направления Оператором ЭП вторых частей заявок в адрес Организатора</w:t>
            </w:r>
          </w:p>
        </w:tc>
        <w:tc>
          <w:tcPr>
            <w:tcW w:w="5808"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позднее 1 (одного) рабочего дня, следующего за днем окончания процедуры аукциона (подачи Участниками ценовых предложений).</w:t>
            </w:r>
          </w:p>
        </w:tc>
      </w:tr>
      <w:tr>
        <w:trPr/>
        <w:tc>
          <w:tcPr>
            <w:tcW w:w="1127"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4" w:name="_Ref132898515"/>
            <w:bookmarkStart w:id="45" w:name="_Ref132898515"/>
            <w:bookmarkEnd w:id="45"/>
          </w:p>
        </w:tc>
        <w:tc>
          <w:tcPr>
            <w:tcW w:w="2977"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окончания рассмотрения вторых частей заявок:</w:t>
            </w:r>
          </w:p>
        </w:tc>
        <w:tc>
          <w:tcPr>
            <w:tcW w:w="5808"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«03» сентября 2026 г.</w:t>
            </w:r>
          </w:p>
          <w:p>
            <w:pPr>
              <w:pStyle w:val="Style27"/>
              <w:widowControl w:val="false"/>
              <w:suppressAutoHyphens w:val="true"/>
              <w:spacing w:before="60" w:after="60"/>
              <w:rPr>
                <w:rStyle w:val="Style8"/>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1127"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6" w:name="_Ref125362757"/>
            <w:bookmarkStart w:id="47" w:name="_Ref125362757"/>
            <w:bookmarkEnd w:id="47"/>
          </w:p>
        </w:tc>
        <w:tc>
          <w:tcPr>
            <w:tcW w:w="2977"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подведения</w:t>
              <w:br/>
              <w:t>итогов закупки:</w:t>
            </w:r>
          </w:p>
        </w:tc>
        <w:tc>
          <w:tcPr>
            <w:tcW w:w="5808" w:type="dxa"/>
            <w:tcBorders/>
          </w:tcPr>
          <w:p>
            <w:pPr>
              <w:pStyle w:val="Style27"/>
              <w:widowControl w:val="false"/>
              <w:suppressAutoHyphens w:val="true"/>
              <w:spacing w:before="60" w:after="60"/>
              <w:rPr/>
            </w:pPr>
            <w:r>
              <w:rPr>
                <w:rFonts w:eastAsia="Calibri" w:cs=""/>
                <w:kern w:val="0"/>
                <w:sz w:val="26"/>
                <w:szCs w:val="22"/>
                <w:lang w:val="ru-RU" w:eastAsia="en-US" w:bidi="ar-SA"/>
              </w:rPr>
              <w:t>«08» сентября 2026 г.</w:t>
            </w:r>
          </w:p>
        </w:tc>
      </w:tr>
      <w:tr>
        <w:trPr/>
        <w:tc>
          <w:tcPr>
            <w:tcW w:w="1127"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8" w:name="_Ref125366047"/>
            <w:bookmarkStart w:id="49" w:name="_Ref125366047"/>
            <w:bookmarkEnd w:id="49"/>
          </w:p>
        </w:tc>
        <w:tc>
          <w:tcPr>
            <w:tcW w:w="2977"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Преференция продукции, изготовленной с использованием российского алюминия и (или) алюминиевых полуфабрикатов:</w:t>
            </w:r>
          </w:p>
        </w:tc>
        <w:tc>
          <w:tcPr>
            <w:tcW w:w="5808"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предоставляется.</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1127"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0" w:name="_Ref125361769"/>
            <w:bookmarkStart w:id="51" w:name="_Ref125361769"/>
            <w:bookmarkEnd w:id="51"/>
          </w:p>
        </w:tc>
        <w:tc>
          <w:tcPr>
            <w:tcW w:w="2977"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Рассмотрение, оценка и сопоставление заявок Участников с учетом привлекаемых субподрядчиков:</w:t>
            </w:r>
          </w:p>
        </w:tc>
        <w:tc>
          <w:tcPr>
            <w:tcW w:w="5808"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предусмотрено.</w:t>
            </w:r>
          </w:p>
        </w:tc>
      </w:tr>
      <w:tr>
        <w:trPr/>
        <w:tc>
          <w:tcPr>
            <w:tcW w:w="1127"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77"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Порядок подведения итогов закупки:</w:t>
            </w:r>
          </w:p>
        </w:tc>
        <w:tc>
          <w:tcPr>
            <w:tcW w:w="5808"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Победителем закупки признается Участник, заявка которого соответствует требованиям Документации о закупке и который предложил наиболее низкую стоимость заявки (цену Договора), а если при проведении аукциона цена была снижена до нуля и далее аукцион проводился на повышение цен – наиболее высокую стоимость заявки (цену Договора).</w:t>
            </w:r>
          </w:p>
        </w:tc>
      </w:tr>
      <w:tr>
        <w:trPr/>
        <w:tc>
          <w:tcPr>
            <w:tcW w:w="1127"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2" w:name="_Ref125366606"/>
            <w:bookmarkStart w:id="53" w:name="_Ref125366606"/>
            <w:bookmarkEnd w:id="53"/>
          </w:p>
        </w:tc>
        <w:tc>
          <w:tcPr>
            <w:tcW w:w="2977"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Количество победителей закупки (в рамках одного лота):</w:t>
            </w:r>
          </w:p>
        </w:tc>
        <w:tc>
          <w:tcPr>
            <w:tcW w:w="5808"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Один победитель.</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1127"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4" w:name="_Ref125366813"/>
            <w:bookmarkStart w:id="55" w:name="_Ref125366813"/>
            <w:bookmarkEnd w:id="55"/>
          </w:p>
        </w:tc>
        <w:tc>
          <w:tcPr>
            <w:tcW w:w="2977"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подачи документов в отношении цепочки собственников, включая конечных бенефициаров:</w:t>
            </w:r>
          </w:p>
        </w:tc>
        <w:tc>
          <w:tcPr>
            <w:tcW w:w="5808" w:type="dxa"/>
            <w:tcBorders/>
          </w:tcPr>
          <w:p>
            <w:pPr>
              <w:pStyle w:val="Style27"/>
              <w:keepNext w:val="true"/>
              <w:widowControl w:val="false"/>
              <w:suppressAutoHyphens w:val="true"/>
              <w:spacing w:before="60" w:after="60"/>
              <w:rPr/>
            </w:pPr>
            <w:r>
              <w:rPr>
                <w:rFonts w:eastAsia="Calibri" w:cs=""/>
                <w:kern w:val="0"/>
                <w:sz w:val="26"/>
                <w:szCs w:val="22"/>
                <w:lang w:val="ru-RU" w:eastAsia="en-US" w:bidi="ar-SA"/>
              </w:rPr>
              <w:t>Для подачи документов в бумажной форме:</w:t>
            </w:r>
          </w:p>
          <w:p>
            <w:pPr>
              <w:pStyle w:val="Style27"/>
              <w:keepNext w:val="true"/>
              <w:widowControl w:val="false"/>
              <w:numPr>
                <w:ilvl w:val="0"/>
                <w:numId w:val="15"/>
              </w:numPr>
              <w:suppressAutoHyphens w:val="true"/>
              <w:spacing w:before="60" w:after="60"/>
              <w:ind w:left="255" w:hanging="255"/>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Контактное лицо (Ф.И.О.):</w:t>
            </w:r>
          </w:p>
          <w:p>
            <w:pPr>
              <w:pStyle w:val="Style27"/>
              <w:widowControl w:val="false"/>
              <w:suppressAutoHyphens w:val="true"/>
              <w:spacing w:before="60" w:after="60"/>
              <w:ind w:left="255" w:hanging="0"/>
              <w:rPr>
                <w:lang w:val="en-US"/>
              </w:rPr>
            </w:pPr>
            <w:r>
              <w:rPr>
                <w:rFonts w:eastAsia="Calibri" w:cs=""/>
                <w:kern w:val="0"/>
                <w:sz w:val="26"/>
                <w:szCs w:val="22"/>
                <w:lang w:val="ru-RU" w:eastAsia="en-US" w:bidi="ar-SA"/>
              </w:rPr>
              <w:t>Субчев Павел Сергеевич;</w:t>
            </w:r>
          </w:p>
          <w:p>
            <w:pPr>
              <w:pStyle w:val="Style27"/>
              <w:keepNext w:val="true"/>
              <w:widowControl w:val="false"/>
              <w:numPr>
                <w:ilvl w:val="0"/>
                <w:numId w:val="15"/>
              </w:numPr>
              <w:suppressAutoHyphens w:val="true"/>
              <w:spacing w:before="60" w:after="60"/>
              <w:ind w:left="255" w:hanging="255"/>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Почтовый адрес:</w:t>
            </w:r>
          </w:p>
          <w:p>
            <w:pPr>
              <w:pStyle w:val="Style27"/>
              <w:widowControl w:val="false"/>
              <w:suppressAutoHyphens w:val="true"/>
              <w:spacing w:before="60" w:after="60"/>
              <w:rPr>
                <w:rFonts w:ascii="Times New Roman" w:hAnsi="Times New Roman" w:eastAsia="Calibri" w:cs=""/>
                <w:kern w:val="0"/>
                <w:sz w:val="26"/>
                <w:szCs w:val="22"/>
                <w:lang w:eastAsia="en-US" w:bidi="ar-SA"/>
              </w:rPr>
            </w:pPr>
            <w:r>
              <w:rPr>
                <w:rFonts w:eastAsia="Calibri" w:cs=""/>
                <w:kern w:val="0"/>
                <w:sz w:val="26"/>
                <w:szCs w:val="22"/>
                <w:lang w:val="ru-RU" w:eastAsia="en-US" w:bidi="ar-SA"/>
              </w:rPr>
              <w:t>692775, Приморский край, г. Артем, ул. Каширская, д. 23.</w:t>
            </w:r>
            <w:r>
              <w:rPr>
                <w:rFonts w:eastAsia="Calibri" w:cs=""/>
                <w:kern w:val="0"/>
                <w:sz w:val="26"/>
                <w:szCs w:val="22"/>
                <w:lang w:eastAsia="en-US" w:bidi="ar-SA"/>
              </w:rPr>
              <w:t xml:space="preserve"> </w:t>
            </w:r>
          </w:p>
        </w:tc>
      </w:tr>
      <w:tr>
        <w:trPr/>
        <w:tc>
          <w:tcPr>
            <w:tcW w:w="1127"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6" w:name="_Ref125368490"/>
            <w:bookmarkStart w:id="57" w:name="_Ref125368490"/>
            <w:bookmarkEnd w:id="57"/>
          </w:p>
        </w:tc>
        <w:tc>
          <w:tcPr>
            <w:tcW w:w="2977"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Некритичные пункты Проекта договора:</w:t>
            </w:r>
          </w:p>
        </w:tc>
        <w:tc>
          <w:tcPr>
            <w:tcW w:w="5808"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Отсутствуют.</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1127"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77"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Обеспечение</w:t>
              <w:br/>
              <w:t>исполнения Договора:</w:t>
            </w:r>
          </w:p>
        </w:tc>
        <w:tc>
          <w:tcPr>
            <w:tcW w:w="5808"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требуется.</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bl>
    <w:p>
      <w:pPr>
        <w:pStyle w:val="Style21"/>
        <w:rPr/>
      </w:pPr>
      <w:bookmarkStart w:id="58" w:name="_Ref125360073"/>
      <w:bookmarkStart w:id="59" w:name="_Ref125360337"/>
      <w:bookmarkStart w:id="60" w:name="_Toc228877199"/>
      <w:r>
        <w:rPr/>
        <w:t>Общие положения</w:t>
      </w:r>
      <w:bookmarkEnd w:id="58"/>
      <w:bookmarkEnd w:id="59"/>
      <w:bookmarkEnd w:id="60"/>
    </w:p>
    <w:p>
      <w:pPr>
        <w:pStyle w:val="Style22"/>
        <w:rPr/>
      </w:pPr>
      <w:bookmarkStart w:id="61" w:name="_Toc228877200"/>
      <w:r>
        <w:rPr/>
        <w:t>Общие сведения о закупке</w:t>
      </w:r>
      <w:bookmarkEnd w:id="61"/>
    </w:p>
    <w:p>
      <w:pPr>
        <w:pStyle w:val="Style23"/>
        <w:rPr/>
      </w:pPr>
      <w:r>
        <w:rPr/>
        <w:t>Организатор официально размещенным Извещением приглашает лиц, указанных в подразделе </w:t>
      </w:r>
      <w:r>
        <w:rPr/>
        <w:fldChar w:fldCharType="begin"/>
      </w:r>
      <w:r>
        <w:rPr/>
        <w:instrText xml:space="preserve"> REF _Ref125359973 \r \h </w:instrText>
      </w:r>
      <w:r>
        <w:rPr/>
        <w:fldChar w:fldCharType="separate"/>
      </w:r>
      <w:r>
        <w:rPr/>
        <w:t>1.2</w:t>
      </w:r>
      <w:r>
        <w:rPr/>
        <w:fldChar w:fldCharType="end"/>
      </w:r>
      <w:r>
        <w:rPr/>
        <w:t>, к участию в закупке на право заключения договора, предмет которого указан в том же подразделе.</w:t>
      </w:r>
    </w:p>
    <w:p>
      <w:pPr>
        <w:pStyle w:val="Style23"/>
        <w:rPr/>
      </w:pPr>
      <w:r>
        <w:rPr/>
        <w:t>Требования к Участникам, а также к документам, подтверждающим соответствие установленным требованиям, приведены в разделе </w:t>
      </w:r>
      <w:r>
        <w:rPr/>
        <w:fldChar w:fldCharType="begin"/>
      </w:r>
      <w:r>
        <w:rPr/>
        <w:instrText xml:space="preserve"> REF _Ref125361210 \r \h </w:instrText>
      </w:r>
      <w:r>
        <w:rPr/>
        <w:fldChar w:fldCharType="separate"/>
      </w:r>
      <w:r>
        <w:rPr/>
        <w:t>3</w:t>
      </w:r>
      <w:r>
        <w:rPr/>
        <w:fldChar w:fldCharType="end"/>
      </w:r>
      <w:r>
        <w:rPr/>
        <w:t xml:space="preserve"> Документации о закупке.</w:t>
      </w:r>
    </w:p>
    <w:p>
      <w:pPr>
        <w:pStyle w:val="Style23"/>
        <w:rPr/>
      </w:pPr>
      <w:r>
        <w:rPr/>
        <w:t xml:space="preserve">Требования к поставляемой продукции, включая срок, объем и место поставки продукции, изложены в </w:t>
      </w:r>
      <w:hyperlink w:anchor="Прил01_ТехТребования">
        <w:r>
          <w:rPr>
            <w:rStyle w:val="Style11"/>
          </w:rPr>
          <w:t>Технических требованиях (Приложение № 1)</w:t>
        </w:r>
      </w:hyperlink>
      <w:r>
        <w:rPr/>
        <w:t xml:space="preserve">. </w:t>
      </w:r>
      <w:hyperlink w:anchor="Прил02_ПроектДоговора">
        <w:r>
          <w:rPr>
            <w:rStyle w:val="Style11"/>
          </w:rPr>
          <w:t>Проект договора</w:t>
        </w:r>
      </w:hyperlink>
      <w:r>
        <w:rPr/>
        <w:t>, который планируется заключить по результатам закупки, в том числе содержащий условия по форме, срокам и порядку оплаты, приведен в </w:t>
      </w:r>
      <w:hyperlink w:anchor="Прил02_ПроектДоговора">
        <w:r>
          <w:rPr>
            <w:rStyle w:val="Style11"/>
          </w:rPr>
          <w:t>Приложении № 2</w:t>
        </w:r>
      </w:hyperlink>
      <w:r>
        <w:rPr/>
        <w:t>. 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национальный режим не предоставляется, то требования к закупаемой продукции (в части страны происхождения товара) также могут быть установлены в Структуре НМЦ (в составе Коммерческого предложения (форма 3) (</w:t>
      </w:r>
      <w:hyperlink w:anchor="Прил04_ФормыЗаявки">
        <w:r>
          <w:rPr>
            <w:rStyle w:val="Style11"/>
          </w:rPr>
          <w:t>Приложение № 4</w:t>
        </w:r>
      </w:hyperlink>
      <w:r>
        <w:rPr/>
        <w:t>)).</w:t>
      </w:r>
    </w:p>
    <w:p>
      <w:pPr>
        <w:pStyle w:val="Style23"/>
        <w:rPr/>
      </w:pPr>
      <w:r>
        <w:rPr/>
        <w:t>Подробная информация о порядке проведения закупки и участия в ней, а также о порядке заключения Договора, приведены в разделах </w:t>
      </w:r>
      <w:r>
        <w:rPr/>
        <w:fldChar w:fldCharType="begin"/>
      </w:r>
      <w:r>
        <w:rPr/>
        <w:instrText xml:space="preserve"> REF _Ref125361211 \r \h </w:instrText>
      </w:r>
      <w:r>
        <w:rPr/>
        <w:fldChar w:fldCharType="separate"/>
      </w:r>
      <w:r>
        <w:rPr/>
        <w:t>4</w:t>
      </w:r>
      <w:r>
        <w:rPr/>
        <w:fldChar w:fldCharType="end"/>
      </w:r>
      <w:r>
        <w:rPr/>
        <w:t xml:space="preserve">, </w:t>
      </w:r>
      <w:r>
        <w:rPr/>
        <w:fldChar w:fldCharType="begin"/>
      </w:r>
      <w:r>
        <w:rPr/>
        <w:instrText xml:space="preserve"> REF _Ref126142429 \r \h </w:instrText>
      </w:r>
      <w:r>
        <w:rPr/>
        <w:fldChar w:fldCharType="separate"/>
      </w:r>
      <w:r>
        <w:rPr/>
        <w:t>5</w:t>
      </w:r>
      <w:r>
        <w:rPr/>
        <w:fldChar w:fldCharType="end"/>
      </w:r>
      <w:r>
        <w:rPr/>
        <w:t xml:space="preserve">, образцы основных форм документов, включаемых в заявку или предоставляемых Победителем, приведены в Приложениях </w:t>
      </w:r>
      <w:hyperlink w:anchor="Прил04_ФормыЗаявки">
        <w:r>
          <w:rPr>
            <w:rStyle w:val="Style11"/>
          </w:rPr>
          <w:t>№ 4</w:t>
        </w:r>
      </w:hyperlink>
      <w:r>
        <w:rPr/>
        <w:t xml:space="preserve">, </w:t>
      </w:r>
      <w:hyperlink w:anchor="Прил05_ФормыПобедителя">
        <w:r>
          <w:rPr>
            <w:rStyle w:val="Style11"/>
          </w:rPr>
          <w:t>№ 5</w:t>
        </w:r>
      </w:hyperlink>
      <w:r>
        <w:rPr/>
        <w:t>.</w:t>
      </w:r>
    </w:p>
    <w:p>
      <w:pPr>
        <w:pStyle w:val="Style22"/>
        <w:rPr/>
      </w:pPr>
      <w:bookmarkStart w:id="62" w:name="_Toc228877201"/>
      <w:r>
        <w:rPr/>
        <w:t>Правовой статус документов</w:t>
      </w:r>
      <w:bookmarkEnd w:id="62"/>
    </w:p>
    <w:p>
      <w:pPr>
        <w:pStyle w:val="Style23"/>
        <w:rPr/>
      </w:pPr>
      <w:r>
        <w:rPr/>
        <w:t>Документация о закупке вместе с Извещением, являющимся ее неотъемлемой частью, являются публичной офертой Организатора в соответствии со статьей 437 ГК РФ и должны рассматриваться Участниками в соответствии с этим до подведения итогов закупки. При наличии противоречий между положениями Извещения и Документации о закупке применяются положения Извещения.</w:t>
      </w:r>
    </w:p>
    <w:p>
      <w:pPr>
        <w:pStyle w:val="Style23"/>
        <w:rPr/>
      </w:pPr>
      <w:r>
        <w:rPr/>
        <w:t>Заявка Участника имеет правовой статус оферты и будет рассматриваться Организатором в течение указанного в ней срока ее действия.</w:t>
      </w:r>
    </w:p>
    <w:p>
      <w:pPr>
        <w:pStyle w:val="Style23"/>
        <w:keepNext w:val="true"/>
        <w:rPr/>
      </w:pPr>
      <w:bookmarkStart w:id="63" w:name="_Ref125366985"/>
      <w:r>
        <w:rPr/>
        <w:t>При определении условий Договора по результатам закупки используется иерархия документов, установленная в пункте </w:t>
      </w:r>
      <w:r>
        <w:rPr/>
        <w:fldChar w:fldCharType="begin"/>
      </w:r>
      <w:r>
        <w:rPr/>
        <w:instrText xml:space="preserve"> REF _Ref132288402 \r \h </w:instrText>
      </w:r>
      <w:r>
        <w:rPr/>
        <w:fldChar w:fldCharType="separate"/>
      </w:r>
      <w:r>
        <w:rPr/>
        <w:t>5.2.9</w:t>
      </w:r>
      <w:r>
        <w:rPr/>
        <w:fldChar w:fldCharType="end"/>
      </w:r>
      <w:bookmarkEnd w:id="63"/>
      <w:r>
        <w:rPr/>
        <w:t>.</w:t>
      </w:r>
    </w:p>
    <w:p>
      <w:pPr>
        <w:pStyle w:val="Style23"/>
        <w:rPr/>
      </w:pPr>
      <w:r>
        <w:rPr/>
        <w:t>Заключенный по результатам закупки Договор, в том числе, фиксирует все достигнутые сторонами договоренности.</w:t>
      </w:r>
    </w:p>
    <w:p>
      <w:pPr>
        <w:pStyle w:val="Style23"/>
        <w:rPr/>
      </w:pPr>
      <w:r>
        <w:rPr/>
        <w:t>Во всем, что не урегулировано Извещением и Документацией о закупке, стороны руководствуются Законом 223-ФЗ и Положением о закупке (в редакции, действующей на дату официального размещения Извещения).</w:t>
      </w:r>
    </w:p>
    <w:p>
      <w:pPr>
        <w:pStyle w:val="Style23"/>
        <w:rPr/>
      </w:pPr>
      <w:r>
        <w:rPr/>
        <w:t>Если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заявка Победителя будут считаться приоритетными по отношению к диспозитивным нормам указанных документов.</w:t>
      </w:r>
    </w:p>
    <w:p>
      <w:pPr>
        <w:pStyle w:val="Style23"/>
        <w:rPr/>
      </w:pPr>
      <w:r>
        <w:rPr/>
        <w:t>Иные документы Организатора и Участников не определяют права и обязанности сторон в связи с данной закупкой.</w:t>
      </w:r>
    </w:p>
    <w:p>
      <w:pPr>
        <w:pStyle w:val="Style23"/>
        <w:rPr/>
      </w:pPr>
      <w:r>
        <w:rPr/>
        <w:t>Любые уведомления, письма, предложения, иная переписка и действия председателя, заместителя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 закупке), носят исключительно информационный характер и не являются офертой либо акцептом Организатора или Заказчика.</w:t>
      </w:r>
    </w:p>
    <w:p>
      <w:pPr>
        <w:pStyle w:val="Style22"/>
        <w:rPr/>
      </w:pPr>
      <w:bookmarkStart w:id="64" w:name="_Ref125363536"/>
      <w:bookmarkStart w:id="65" w:name="_Toc228877202"/>
      <w:r>
        <w:rPr/>
        <w:t>Обжалование</w:t>
      </w:r>
      <w:bookmarkEnd w:id="64"/>
      <w:bookmarkEnd w:id="65"/>
    </w:p>
    <w:p>
      <w:pPr>
        <w:pStyle w:val="Style23"/>
        <w:rPr/>
      </w:pPr>
      <w:r>
        <w:rPr/>
        <w:t>Любой Участник, который заявляет, что понес или может понести убытки в результате нарушения его прав Заказчиком и (или) Организатором, отдельными членами Закупочной комиссии или Оператором ЭП, имеет право подать заявление о рассмотрении разногласий, связанных с проведением закупки.</w:t>
      </w:r>
    </w:p>
    <w:p>
      <w:pPr>
        <w:pStyle w:val="Style23"/>
        <w:rPr/>
      </w:pPr>
      <w:r>
        <w:rPr/>
        <w:t>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 «РусГидро» (вкладка «Линия доверия»), или сообщения информации по 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p>
    <w:p>
      <w:pPr>
        <w:pStyle w:val="Style23"/>
        <w:keepNext w:val="true"/>
        <w:rPr/>
      </w:pPr>
      <w:r>
        <w:rPr/>
        <w:t>Если разногласия не разрешены по взаимному согласию представившего их Участника и Заказчика, может быть принято одно из следующих решений:</w:t>
      </w:r>
    </w:p>
    <w:p>
      <w:pPr>
        <w:pStyle w:val="Style24"/>
        <w:rPr/>
      </w:pPr>
      <w:r>
        <w:rPr/>
        <w:t>обязать Заказчика, Организатора, 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 (в том числе, но не ограничиваясь, отменить составленные в ходе закупки протоколы, повторно рассмотреть заявки Участников);</w:t>
      </w:r>
    </w:p>
    <w:p>
      <w:pPr>
        <w:pStyle w:val="Style24"/>
        <w:rPr/>
      </w:pPr>
      <w:r>
        <w:rPr/>
        <w:t>признать заявление Участника необоснованным.</w:t>
      </w:r>
    </w:p>
    <w:p>
      <w:pPr>
        <w:pStyle w:val="Style23"/>
        <w:rPr/>
      </w:pPr>
      <w:r>
        <w:rPr/>
        <w:t>Участник вправе обжаловать действия (бездействие) Заказчика и (или) Организатора, Закупочной комиссии, Оператора ЭП при проведении настоящей закупки в антимонопольном органе в порядке, установленном законодательством. Если обжалуемые действия (бездействие) совершены после окончания установленного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обжалование таких действий (бездействия) может осуществляться только Участником, подавшим заявку на участие в такой закупке.</w:t>
      </w:r>
    </w:p>
    <w:p>
      <w:pPr>
        <w:pStyle w:val="Style23"/>
        <w:rPr/>
      </w:pPr>
      <w:r>
        <w:rPr/>
        <w:t>Все споры и разногласия, возникающие в связи с проведением закупки, касающиеся исполнения Организатором, Заказчиком и Участниками своих обязательств, в том числе не урегулированные путем обращения на «Линию доверия» и (или) антимонопольные органы, подлежат разрешению следующим образом:</w:t>
      </w:r>
    </w:p>
    <w:p>
      <w:pPr>
        <w:pStyle w:val="Style24"/>
        <w:rPr/>
      </w:pPr>
      <w:r>
        <w:rPr/>
        <w:t>по закупкам, проводимым закупочными комиссиями 1-го уровня – в Арбитражном суде по месту нахождения Заказчика (либо соответствующего филиала Заказчика, для нужд которого проводится настоящая закупка);</w:t>
      </w:r>
    </w:p>
    <w:p>
      <w:pPr>
        <w:pStyle w:val="Style24"/>
        <w:rPr/>
      </w:pPr>
      <w:r>
        <w:rPr/>
        <w:t xml:space="preserve">по закупкам, проводимым закупочными комиссиями 2-го уровня, специальными закупочными комиссиями, закупочными комиссиями исполнительного аппарата ПАО «РусГидро» – в Арбитражном суде </w:t>
      </w:r>
      <w:bookmarkStart w:id="66" w:name="_Hlk219296876"/>
      <w:r>
        <w:rPr/>
        <w:t>Красноярского края</w:t>
      </w:r>
      <w:bookmarkEnd w:id="66"/>
      <w:r>
        <w:rPr/>
        <w:t>.</w:t>
      </w:r>
    </w:p>
    <w:p>
      <w:pPr>
        <w:pStyle w:val="Style27"/>
        <w:ind w:left="1134" w:hanging="0"/>
        <w:rPr/>
      </w:pPr>
      <w:r>
        <w:rPr/>
        <w:t>Закупочная комиссия определяется в соответствии с Положением о закупке.</w:t>
      </w:r>
    </w:p>
    <w:p>
      <w:pPr>
        <w:pStyle w:val="Style22"/>
        <w:rPr/>
      </w:pPr>
      <w:bookmarkStart w:id="67" w:name="_Toc228877203"/>
      <w:r>
        <w:rPr/>
        <w:t>Особые положения при проведении закупки с использованием ЭП</w:t>
      </w:r>
      <w:bookmarkEnd w:id="67"/>
    </w:p>
    <w:p>
      <w:pPr>
        <w:pStyle w:val="Style23"/>
        <w:rPr/>
      </w:pPr>
      <w:r>
        <w:rPr/>
        <w:t>Наименование ЭП, посредством которой проводится закупка, указано в подразделе </w:t>
      </w:r>
      <w:r>
        <w:rPr/>
        <w:fldChar w:fldCharType="begin"/>
      </w:r>
      <w:r>
        <w:rPr/>
        <w:instrText xml:space="preserve"> REF _Ref125359973 \r \h </w:instrText>
      </w:r>
      <w:r>
        <w:rPr/>
        <w:fldChar w:fldCharType="separate"/>
      </w:r>
      <w:r>
        <w:rPr/>
        <w:t>1.2</w:t>
      </w:r>
      <w:r>
        <w:rPr/>
        <w:fldChar w:fldCharType="end"/>
      </w:r>
      <w:r>
        <w:rPr/>
        <w:t>. До подачи заявки Участник обязан ознакомиться с Регламентом ЭП, опубликованными на сайте соответствующей ЭП.</w:t>
      </w:r>
    </w:p>
    <w:p>
      <w:pPr>
        <w:pStyle w:val="Style23"/>
        <w:rPr/>
      </w:pPr>
      <w:r>
        <w:rPr/>
        <w:t>Для участия в закупке Участник должен пройти процедуру регистрации в Едином реестре участников закупок в ЕИС в порядке, предусмотренным Законом 44-ФЗ, т.е. быть зарегистрированным на ЭП. Регистрация осуществляется Федеральным Казначейством, и Организатор (Заказчик) не несет ответственности за результат ее прохождения Участником, в том числе понесенные им затраты.</w:t>
      </w:r>
    </w:p>
    <w:p>
      <w:pPr>
        <w:pStyle w:val="Style23"/>
        <w:rPr/>
      </w:pPr>
      <w:r>
        <w:rPr/>
        <w:t>Правила проведения закупки в том числе определяются Регламентом ЭП.</w:t>
      </w:r>
    </w:p>
    <w:p>
      <w:pPr>
        <w:pStyle w:val="Style23"/>
        <w:rPr/>
      </w:pPr>
      <w:r>
        <w:rPr/>
        <w:t>Обмен всей информацией, связанной с проведением закупки (между Участником, Организатором (Заказчиком) и Оператором ЭП) осуществляется на ЭП в форме электронных документов, подписанных усиленной квалифицированной электронной подписью уполномоченного лица.</w:t>
      </w:r>
    </w:p>
    <w:p>
      <w:pPr>
        <w:pStyle w:val="Style23"/>
        <w:rPr/>
      </w:pPr>
      <w:r>
        <w:rPr/>
        <w:t>Стоимость заявки (цена Договора)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p>
    <w:p>
      <w:pPr>
        <w:pStyle w:val="Style22"/>
        <w:rPr/>
      </w:pPr>
      <w:bookmarkStart w:id="68" w:name="_Toc228877204"/>
      <w:r>
        <w:rPr/>
        <w:t>Прочие положения</w:t>
      </w:r>
      <w:bookmarkEnd w:id="68"/>
    </w:p>
    <w:p>
      <w:pPr>
        <w:pStyle w:val="Style23"/>
        <w:rPr/>
      </w:pPr>
      <w:r>
        <w:rPr/>
        <w:t>Заказчик, Организатор и Оператор ЭП обеспечивают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p>
    <w:p>
      <w:pPr>
        <w:pStyle w:val="Style23"/>
        <w:rPr/>
      </w:pPr>
      <w:r>
        <w:rPr/>
        <w:t>Организатор (по решению Закупочной комиссии), вправе отклонить заявку, если будет установлено, что Участник каким-либо способом повлиял на рассмотрение заявок, их оценку и сопоставление, подведение итогов закупки (определение Победителя), в том числе прямо или косвенно дал, согласился дать или предложил работнику Организатора, Заказчика, члену Закупочной комиссии или эксперту, осуществлявшему экспертизу заявок, вознаграждение в любой форме: работу, услугу, какую-либо ценность в качестве стимула, и (или) оказал каким-либо иным образом давление на указанных лиц.</w:t>
      </w:r>
    </w:p>
    <w:p>
      <w:pPr>
        <w:pStyle w:val="Style23"/>
        <w:rPr/>
      </w:pPr>
      <w:r>
        <w:rPr/>
        <w:t>С целью предупреждения и противодействия противоправным действиям в Группе РусГидро организована круглосуточная «Линия доверия», обратиться на которую можно по телефону +7 (495) 785 09 37 (круглосуточно), или заполнив соответствующую форму на корпоративном сайте ПАО «РусГидро», вкладка «Линия доверия».</w:t>
      </w:r>
    </w:p>
    <w:p>
      <w:pPr>
        <w:pStyle w:val="Style21"/>
        <w:rPr/>
      </w:pPr>
      <w:bookmarkStart w:id="69" w:name="_Ref125361210"/>
      <w:bookmarkStart w:id="70" w:name="_Toc228877205"/>
      <w:r>
        <w:rPr/>
        <w:t>Требования к Участникам</w:t>
      </w:r>
      <w:bookmarkEnd w:id="69"/>
      <w:bookmarkEnd w:id="70"/>
    </w:p>
    <w:p>
      <w:pPr>
        <w:pStyle w:val="Style22"/>
        <w:rPr/>
      </w:pPr>
      <w:bookmarkStart w:id="71" w:name="_Ref127524530"/>
      <w:bookmarkStart w:id="72" w:name="_Toc228877206"/>
      <w:r>
        <w:rPr/>
        <w:t>Общие требования к Участникам</w:t>
      </w:r>
      <w:bookmarkEnd w:id="71"/>
      <w:bookmarkEnd w:id="72"/>
    </w:p>
    <w:p>
      <w:pPr>
        <w:pStyle w:val="Style23"/>
        <w:rPr/>
      </w:pPr>
      <w:bookmarkStart w:id="73" w:name="_Ref125361514"/>
      <w:r>
        <w:rPr/>
        <w:t>Из лиц, указанных в подразделе </w:t>
      </w:r>
      <w:r>
        <w:rPr/>
        <w:fldChar w:fldCharType="begin"/>
      </w:r>
      <w:r>
        <w:rPr/>
        <w:instrText xml:space="preserve"> REF _Ref125359973 \r \h </w:instrText>
      </w:r>
      <w:r>
        <w:rPr/>
        <w:fldChar w:fldCharType="separate"/>
      </w:r>
      <w:r>
        <w:rPr/>
        <w:t>1.2</w:t>
      </w:r>
      <w:r>
        <w:rPr/>
        <w:fldChar w:fldCharType="end"/>
      </w:r>
      <w:r>
        <w:rPr/>
        <w:t>, участвовать в закупке может любое юридическое / физическое лицо (в том числе индивидуальный предприниматель), независимо от их организационно-правовой формы, формы собственности, места нахождения и места происхождения капитала. Исключение составляют юридические / физические лица, являющиеся иностранным агентом в соответствии с Законом 255-ФЗ – они не могут быть Участником.</w:t>
      </w:r>
      <w:bookmarkEnd w:id="73"/>
    </w:p>
    <w:p>
      <w:pPr>
        <w:pStyle w:val="Style23"/>
        <w:rPr/>
      </w:pPr>
      <w:r>
        <w:rPr/>
        <w:t>Однако, чтобы претендовать на победу в закупке Участник должен отвечать требованиям, установленным в Документации о закупке.</w:t>
      </w:r>
    </w:p>
    <w:p>
      <w:pPr>
        <w:pStyle w:val="Style23"/>
        <w:rPr/>
      </w:pPr>
      <w:r>
        <w:rPr/>
        <w:t xml:space="preserve">Требования к Участникам установлены с учетом предмета договора, </w:t>
      </w:r>
      <w:hyperlink w:anchor="Прил01_ТехТребования">
        <w:r>
          <w:rPr>
            <w:rStyle w:val="Style11"/>
          </w:rPr>
          <w:t>Технических требований (Приложение № 1)</w:t>
        </w:r>
      </w:hyperlink>
      <w:r>
        <w:rPr/>
        <w:t xml:space="preserve"> и </w:t>
      </w:r>
      <w:hyperlink w:anchor="Прил02_ПроектДоговора">
        <w:r>
          <w:rPr>
            <w:rStyle w:val="Style11"/>
          </w:rPr>
          <w:t>Проекта договора (Приложение № 2)</w:t>
        </w:r>
      </w:hyperlink>
      <w:r>
        <w:rPr/>
        <w:t>. 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национальный режим не предоставляется, то требования к Участникам (в части страны его регистрации) также могут быть установлены в Структуре НМЦ (в составе Коммерческого предложения (форма 3) (</w:t>
      </w:r>
      <w:hyperlink w:anchor="Прил04_ФормыЗаявки">
        <w:r>
          <w:rPr>
            <w:rStyle w:val="Style11"/>
          </w:rPr>
          <w:t>Приложение № 4</w:t>
        </w:r>
      </w:hyperlink>
      <w:r>
        <w:rPr/>
        <w:t>)).</w:t>
      </w:r>
    </w:p>
    <w:p>
      <w:pPr>
        <w:pStyle w:val="Style23"/>
        <w:keepNext w:val="true"/>
        <w:rPr/>
      </w:pPr>
      <w:r>
        <w:rPr/>
        <w:t>Установлены следующие требования к Участникам, которые приведены в </w:t>
      </w:r>
      <w:hyperlink w:anchor="Прил03_ТребованияУчастникам">
        <w:r>
          <w:rPr>
            <w:rStyle w:val="Style11"/>
          </w:rPr>
          <w:t>Приложении № 3</w:t>
        </w:r>
      </w:hyperlink>
      <w:r>
        <w:rPr/>
        <w:t>:</w:t>
      </w:r>
    </w:p>
    <w:p>
      <w:pPr>
        <w:pStyle w:val="Style24"/>
        <w:rPr/>
      </w:pPr>
      <w:r>
        <w:rPr/>
        <w:t>обязательные требования (подраздел </w:t>
      </w:r>
      <w:r>
        <w:rPr/>
        <w:fldChar w:fldCharType="begin"/>
      </w:r>
      <w:r>
        <w:rPr/>
        <w:instrText xml:space="preserve"> REF _Ref125361435 \r \h </w:instrText>
      </w:r>
      <w:r>
        <w:rPr/>
        <w:fldChar w:fldCharType="separate"/>
      </w:r>
      <w:r>
        <w:rPr/>
        <w:t>8.2</w:t>
      </w:r>
      <w:r>
        <w:rPr/>
        <w:fldChar w:fldCharType="end"/>
      </w:r>
      <w:r>
        <w:rPr/>
        <w:t>) – Участники должны им соответствовать;</w:t>
      </w:r>
    </w:p>
    <w:p>
      <w:pPr>
        <w:pStyle w:val="Style24"/>
        <w:rPr/>
      </w:pPr>
      <w:r>
        <w:rPr/>
        <w:t>специальные требования – Участники должны им соответствовать, если они установлены (подраздел </w:t>
      </w:r>
      <w:r>
        <w:rPr/>
        <w:fldChar w:fldCharType="begin"/>
      </w:r>
      <w:r>
        <w:rPr/>
        <w:instrText xml:space="preserve"> REF _Ref125709153 \r \h </w:instrText>
      </w:r>
      <w:r>
        <w:rPr/>
        <w:fldChar w:fldCharType="separate"/>
      </w:r>
      <w:r>
        <w:rPr/>
        <w:t>8.3</w:t>
      </w:r>
      <w:r>
        <w:rPr/>
        <w:fldChar w:fldCharType="end"/>
      </w:r>
      <w:r>
        <w:rPr/>
        <w:t>).</w:t>
      </w:r>
    </w:p>
    <w:p>
      <w:pPr>
        <w:pStyle w:val="Style23"/>
        <w:keepNext w:val="true"/>
        <w:rPr/>
      </w:pPr>
      <w:r>
        <w:rPr/>
        <w:t>В рамках требований к Участникам могут быть установлены дополнительные требования к Генеральным подрядчикам (подраздел </w:t>
      </w:r>
      <w:r>
        <w:rPr/>
        <w:fldChar w:fldCharType="begin"/>
      </w:r>
      <w:r>
        <w:rPr/>
        <w:instrText xml:space="preserve"> REF _Ref125361702 \r \h </w:instrText>
      </w:r>
      <w:r>
        <w:rPr/>
        <w:fldChar w:fldCharType="separate"/>
      </w:r>
      <w:r>
        <w:rPr/>
        <w:t>3.2</w:t>
      </w:r>
      <w:r>
        <w:rPr/>
        <w:fldChar w:fldCharType="end"/>
      </w:r>
      <w:r>
        <w:rPr/>
        <w:t>).</w:t>
      </w:r>
    </w:p>
    <w:p>
      <w:pPr>
        <w:pStyle w:val="Style23"/>
        <w:rPr/>
      </w:pPr>
      <w:bookmarkStart w:id="74" w:name="_Ref125361969"/>
      <w:bookmarkStart w:id="75" w:name="_Ref125361976"/>
      <w:bookmarkEnd w:id="74"/>
      <w:bookmarkEnd w:id="75"/>
      <w:r>
        <w:rPr/>
        <w:t xml:space="preserve">Для подтверждения соответствия установленным требованиям Участник обязан приложить в составе заявки документы, перечисленные в </w:t>
      </w:r>
      <w:hyperlink w:anchor="Прил03_ТребованияУчастникам">
        <w:r>
          <w:rPr>
            <w:rStyle w:val="Style11"/>
          </w:rPr>
          <w:t>Требованиях к Участникам (Приложение № 3)</w:t>
        </w:r>
      </w:hyperlink>
      <w:r>
        <w:rPr/>
        <w:t xml:space="preserve">, </w:t>
      </w:r>
      <w:bookmarkStart w:id="76" w:name="_Hlk132706049"/>
      <w:r>
        <w:rPr/>
        <w:t>если иное не установлено в Документации о закупке</w:t>
      </w:r>
      <w:bookmarkEnd w:id="76"/>
      <w:r>
        <w:rPr/>
        <w:t>.</w:t>
      </w:r>
    </w:p>
    <w:p>
      <w:pPr>
        <w:pStyle w:val="Style22"/>
        <w:rPr/>
      </w:pPr>
      <w:bookmarkStart w:id="77" w:name="_Ref125361702"/>
      <w:bookmarkStart w:id="78" w:name="_Toc228877207"/>
      <w:bookmarkStart w:id="79" w:name="_Toc224743197"/>
      <w:bookmarkStart w:id="80" w:name="_Toc224743198"/>
      <w:bookmarkStart w:id="81" w:name="_Toc224743199"/>
      <w:bookmarkStart w:id="82" w:name="_Toc224743200"/>
      <w:bookmarkStart w:id="83" w:name="_Toc224743201"/>
      <w:bookmarkStart w:id="84" w:name="_Toc224743202"/>
      <w:bookmarkStart w:id="85" w:name="_Toc224743203"/>
      <w:bookmarkStart w:id="86" w:name="_Toc224743204"/>
      <w:bookmarkStart w:id="87" w:name="_Toc224743205"/>
      <w:bookmarkStart w:id="88" w:name="_Toc224743206"/>
      <w:bookmarkStart w:id="89" w:name="_Toc224743207"/>
      <w:bookmarkStart w:id="90" w:name="_Toc224743208"/>
      <w:bookmarkStart w:id="91" w:name="_Toc224743209"/>
      <w:bookmarkStart w:id="92" w:name="_Toc224743210"/>
      <w:bookmarkStart w:id="93" w:name="_Toc224743211"/>
      <w:bookmarkStart w:id="94" w:name="_Toc224743212"/>
      <w:bookmarkStart w:id="95" w:name="_Toc224743213"/>
      <w:bookmarkStart w:id="96" w:name="_Toc224743214"/>
      <w:bookmarkStart w:id="97" w:name="_Toc224743215"/>
      <w:bookmarkStart w:id="98" w:name="_Toc224743216"/>
      <w:bookmarkStart w:id="99" w:name="_Ref125361969_Копия_1"/>
      <w:bookmarkStart w:id="100" w:name="_Ref125361976_Копия_1"/>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Pr/>
        <w:t>Генеральные подрядчики</w:t>
      </w:r>
      <w:bookmarkEnd w:id="77"/>
      <w:bookmarkEnd w:id="78"/>
    </w:p>
    <w:p>
      <w:pPr>
        <w:pStyle w:val="Style23"/>
        <w:rPr/>
      </w:pPr>
      <w:r>
        <w:rPr/>
        <w:t>Нормы настоящего подраздела применяются только,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рассмотрение заявок Участников с учетом привлекаемых субподрядчиков.</w:t>
      </w:r>
    </w:p>
    <w:p>
      <w:pPr>
        <w:pStyle w:val="Style23"/>
        <w:rPr/>
      </w:pPr>
      <w:r>
        <w:rPr/>
        <w:t>Если заявка подается Участником от лица Генерального подрядчика, дополнительно должны быть выполнены требования настоящего подраздела, а также требования к дополнительным документам, предоставляемым таким Участником в составе заявки, установленные в подразделе </w:t>
      </w:r>
      <w:r>
        <w:rPr/>
        <w:fldChar w:fldCharType="begin"/>
      </w:r>
      <w:r>
        <w:rPr/>
        <w:instrText xml:space="preserve"> REF _Ref125709777 \r \h </w:instrText>
      </w:r>
      <w:r>
        <w:rPr/>
        <w:fldChar w:fldCharType="separate"/>
      </w:r>
      <w:r>
        <w:rPr/>
        <w:t>8.4</w:t>
      </w:r>
      <w:r>
        <w:rPr/>
        <w:fldChar w:fldCharType="end"/>
      </w:r>
      <w:r>
        <w:rPr/>
        <w:t xml:space="preserve"> </w:t>
      </w:r>
      <w:hyperlink w:anchor="Прил03_ТребованияУчастникам">
        <w:r>
          <w:rPr>
            <w:rStyle w:val="Style11"/>
          </w:rPr>
          <w:t>Требований к Участникам (Приложение № 3)</w:t>
        </w:r>
      </w:hyperlink>
      <w:r>
        <w:rPr/>
        <w:t>.</w:t>
      </w:r>
    </w:p>
    <w:p>
      <w:pPr>
        <w:pStyle w:val="Style23"/>
        <w:keepNext w:val="true"/>
        <w:rPr/>
      </w:pPr>
      <w:r>
        <w:rPr/>
        <w:t>Генеральный подрядчик:</w:t>
      </w:r>
    </w:p>
    <w:p>
      <w:pPr>
        <w:pStyle w:val="Style24"/>
        <w:rPr/>
      </w:pPr>
      <w:r>
        <w:rPr/>
        <w:t>должен самостоятельно отвечать всем обязательным требованиям к Участникам (подраздел </w:t>
      </w:r>
      <w:r>
        <w:rPr/>
        <w:fldChar w:fldCharType="begin"/>
      </w:r>
      <w:r>
        <w:rPr/>
        <w:instrText xml:space="preserve"> REF _Ref125361435 \r \h </w:instrText>
      </w:r>
      <w:r>
        <w:rPr/>
        <w:fldChar w:fldCharType="separate"/>
      </w:r>
      <w:r>
        <w:rPr/>
        <w:t>8.2</w:t>
      </w:r>
      <w:r>
        <w:rPr/>
        <w:fldChar w:fldCharType="end"/>
      </w:r>
      <w:r>
        <w:rPr/>
        <w:t>);</w:t>
      </w:r>
    </w:p>
    <w:p>
      <w:pPr>
        <w:pStyle w:val="Style24"/>
        <w:rPr/>
      </w:pPr>
      <w:r>
        <w:rPr/>
        <w:t>в рамках специальных требований (подраздел </w:t>
      </w:r>
      <w:r>
        <w:rPr/>
        <w:fldChar w:fldCharType="begin"/>
      </w:r>
      <w:r>
        <w:rPr/>
        <w:instrText xml:space="preserve"> REF _Ref125709153 \r \h </w:instrText>
      </w:r>
      <w:r>
        <w:rPr/>
        <w:fldChar w:fldCharType="separate"/>
      </w:r>
      <w:r>
        <w:rPr/>
        <w:t>8.3</w:t>
      </w:r>
      <w:r>
        <w:rPr/>
        <w:fldChar w:fldCharType="end"/>
      </w:r>
      <w:r>
        <w:rPr/>
        <w:t>), касающихся членства в саморегулируемых организациях (в случае их установления), должен иметь соответствующее членство с учетом требований законодательства к такому членству;</w:t>
      </w:r>
    </w:p>
    <w:p>
      <w:pPr>
        <w:pStyle w:val="Style24"/>
        <w:rPr/>
      </w:pPr>
      <w:r>
        <w:rPr/>
        <w:t>в рамках остальных специальных требований (в случае их установления) должен отвечать им только в части объема поставки продукции, который ему предполагается поручить в соответствии с представленным в Техническом предложении Планом распределения объемов поставки продукции (форма 4) (</w:t>
      </w:r>
      <w:hyperlink w:anchor="Прил04_ФормыЗаявки">
        <w:r>
          <w:rPr>
            <w:rStyle w:val="Style11"/>
          </w:rPr>
          <w:t>Приложение № 4</w:t>
        </w:r>
      </w:hyperlink>
      <w:r>
        <w:rPr/>
        <w:t>).</w:t>
      </w:r>
    </w:p>
    <w:p>
      <w:pPr>
        <w:pStyle w:val="Style23"/>
        <w:keepNext w:val="true"/>
        <w:rPr/>
      </w:pPr>
      <w:r>
        <w:rPr/>
        <w:t>Каждый субподрядчик из привлекаемых Генеральным подрядчиком должен отвечать:</w:t>
      </w:r>
    </w:p>
    <w:p>
      <w:pPr>
        <w:pStyle w:val="Style24"/>
        <w:rPr/>
      </w:pPr>
      <w:r>
        <w:rPr/>
        <w:t>обязательным требованиям (подраздел </w:t>
      </w:r>
      <w:r>
        <w:rPr/>
        <w:fldChar w:fldCharType="begin"/>
      </w:r>
      <w:r>
        <w:rPr/>
        <w:instrText xml:space="preserve"> REF _Ref125361435 \r \h </w:instrText>
      </w:r>
      <w:r>
        <w:rPr/>
        <w:fldChar w:fldCharType="separate"/>
      </w:r>
      <w:r>
        <w:rPr/>
        <w:t>8.2</w:t>
      </w:r>
      <w:r>
        <w:rPr/>
        <w:fldChar w:fldCharType="end"/>
      </w:r>
      <w:r>
        <w:rPr/>
        <w:t>);</w:t>
      </w:r>
    </w:p>
    <w:p>
      <w:pPr>
        <w:pStyle w:val="Style24"/>
        <w:rPr/>
      </w:pPr>
      <w:r>
        <w:rPr/>
        <w:t>специальным требованиям (подраздел </w:t>
      </w:r>
      <w:r>
        <w:rPr/>
        <w:fldChar w:fldCharType="begin"/>
      </w:r>
      <w:r>
        <w:rPr/>
        <w:instrText xml:space="preserve"> REF _Ref125709153 \r \h </w:instrText>
      </w:r>
      <w:r>
        <w:rPr/>
        <w:fldChar w:fldCharType="separate"/>
      </w:r>
      <w:r>
        <w:rPr/>
        <w:t>8.3</w:t>
      </w:r>
      <w:r>
        <w:rPr/>
        <w:fldChar w:fldCharType="end"/>
      </w:r>
      <w:r>
        <w:rPr/>
        <w:t>) (в случае их установления), за исключением требования о наличии членства в саморегулируемых организациях.</w:t>
      </w:r>
    </w:p>
    <w:p>
      <w:pPr>
        <w:pStyle w:val="Style27"/>
        <w:ind w:left="1134" w:hanging="0"/>
        <w:rPr/>
      </w:pPr>
      <w:bookmarkStart w:id="101" w:name="_Ref125368863"/>
      <w:r>
        <w:rPr/>
        <w:t xml:space="preserve">При этом соответствовать специальным требованиям субподрядчик должен только в части объема поставки продукции, который ему </w:t>
      </w:r>
      <w:bookmarkEnd w:id="101"/>
      <w:r>
        <w:rPr/>
        <w:t>поручен в соответствии с представленным в Техническом предложении Планом распределения объемов поставки продукции (форма 4) (</w:t>
      </w:r>
      <w:hyperlink w:anchor="Прил04_ФормыЗаявки">
        <w:r>
          <w:rPr>
            <w:rStyle w:val="Style11"/>
          </w:rPr>
          <w:t>Приложение № 4</w:t>
        </w:r>
      </w:hyperlink>
      <w:r>
        <w:rPr/>
        <w:t>).</w:t>
      </w:r>
    </w:p>
    <w:p>
      <w:pPr>
        <w:pStyle w:val="Style23"/>
        <w:rPr/>
      </w:pPr>
      <w:bookmarkStart w:id="102" w:name="_Ref125361799"/>
      <w:r>
        <w:rPr/>
        <w:t>Любое юридическое или физическое лицо (в том числе 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Каждый Генеральный подрядчик может подать только одну заявку и не может быть субподрядчиком у других Генеральных подрядчиков. В случае невыполнения этих требований заявки с участием таких лиц будут отклонены.</w:t>
      </w:r>
      <w:bookmarkEnd w:id="102"/>
    </w:p>
    <w:p>
      <w:pPr>
        <w:sectPr>
          <w:headerReference w:type="default" r:id="rId2"/>
          <w:footerReference w:type="default" r:id="rId3"/>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3"/>
        <w:rPr/>
      </w:pPr>
      <w:r>
        <w:rPr/>
        <w:t>Если подразделом </w:t>
      </w:r>
      <w:r>
        <w:rPr/>
        <w:fldChar w:fldCharType="begin"/>
      </w:r>
      <w:r>
        <w:rPr/>
        <w:instrText xml:space="preserve"> REF _Ref125359973 \r \h </w:instrText>
      </w:r>
      <w:r>
        <w:rPr/>
        <w:fldChar w:fldCharType="separate"/>
      </w:r>
      <w:r>
        <w:rPr/>
        <w:t>1.2</w:t>
      </w:r>
      <w:r>
        <w:rPr/>
        <w:fldChar w:fldCharType="end"/>
      </w:r>
      <w:r>
        <w:rPr/>
        <w:t xml:space="preserve"> не предусмотрено рассмотрение заявок Участников с учетом привлекаемых субподрядчиков, то при рассмотрении заявок к учету принимаются исключительно сведения о самом Участнике, в связи с чем Участник не обязан предоставлять документы на привлекаемых им субподрядчиков, указанные в подразделе </w:t>
      </w:r>
      <w:r>
        <w:rPr/>
        <w:fldChar w:fldCharType="begin"/>
      </w:r>
      <w:r>
        <w:rPr/>
        <w:instrText xml:space="preserve"> REF _Ref125709973 \r \h </w:instrText>
      </w:r>
      <w:r>
        <w:rPr/>
        <w:fldChar w:fldCharType="separate"/>
      </w:r>
      <w:r>
        <w:rPr/>
        <w:t>8.4</w:t>
      </w:r>
      <w:r>
        <w:rPr/>
        <w:fldChar w:fldCharType="end"/>
      </w:r>
      <w:r>
        <w:rPr/>
        <w:t xml:space="preserve"> </w:t>
      </w:r>
      <w:hyperlink w:anchor="Прил03_ТребованияУчастникам">
        <w:r>
          <w:rPr>
            <w:rStyle w:val="Style11"/>
          </w:rPr>
          <w:t>Требований к Участникам (Приложение № 3)</w:t>
        </w:r>
      </w:hyperlink>
      <w:r>
        <w:rPr/>
        <w:t>. Ответственность за 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w:t>
      </w:r>
    </w:p>
    <w:p>
      <w:pPr>
        <w:pStyle w:val="Style21"/>
        <w:rPr/>
      </w:pPr>
      <w:bookmarkStart w:id="103" w:name="_Ref125361211"/>
      <w:bookmarkStart w:id="104" w:name="_Ref125367098"/>
      <w:bookmarkStart w:id="105" w:name="_Ref125367107"/>
      <w:bookmarkStart w:id="106" w:name="_Ref125367974"/>
      <w:bookmarkStart w:id="107" w:name="_Toc228877208"/>
      <w:r>
        <w:rPr/>
        <w:t>Порядок проведения закупки</w:t>
      </w:r>
      <w:bookmarkEnd w:id="103"/>
      <w:bookmarkEnd w:id="104"/>
      <w:bookmarkEnd w:id="105"/>
      <w:bookmarkEnd w:id="106"/>
      <w:bookmarkEnd w:id="107"/>
    </w:p>
    <w:p>
      <w:pPr>
        <w:pStyle w:val="Style22"/>
        <w:rPr/>
      </w:pPr>
      <w:bookmarkStart w:id="108" w:name="_Ref126141932"/>
      <w:bookmarkStart w:id="109" w:name="_Toc228877209"/>
      <w:r>
        <w:rPr/>
        <w:t>Общий порядок проведения закупки</w:t>
      </w:r>
      <w:bookmarkEnd w:id="108"/>
      <w:bookmarkEnd w:id="109"/>
    </w:p>
    <w:p>
      <w:pPr>
        <w:pStyle w:val="Style23"/>
        <w:keepNext w:val="true"/>
        <w:spacing w:before="120" w:after="120"/>
        <w:rPr/>
      </w:pPr>
      <w:r>
        <w:rPr/>
        <w:t>Закупка проводится в следующем порядке:</w:t>
      </w:r>
    </w:p>
    <w:tbl>
      <w:tblPr>
        <w:tblStyle w:val="af9"/>
        <w:tblW w:w="14007" w:type="dxa"/>
        <w:jc w:val="left"/>
        <w:tblInd w:w="1129" w:type="dxa"/>
        <w:tblLayout w:type="fixed"/>
        <w:tblCellMar>
          <w:top w:w="0" w:type="dxa"/>
          <w:left w:w="0" w:type="dxa"/>
          <w:bottom w:w="0" w:type="dxa"/>
          <w:right w:w="5" w:type="dxa"/>
        </w:tblCellMar>
        <w:tblLook w:val="04a0" w:noHBand="0" w:noVBand="1" w:firstColumn="1" w:lastRow="0" w:lastColumn="0" w:firstRow="1"/>
      </w:tblPr>
      <w:tblGrid>
        <w:gridCol w:w="372"/>
        <w:gridCol w:w="2652"/>
        <w:gridCol w:w="2651"/>
        <w:gridCol w:w="3827"/>
        <w:gridCol w:w="2269"/>
        <w:gridCol w:w="2235"/>
      </w:tblGrid>
      <w:tr>
        <w:trPr>
          <w:cnfStyle w:val="100000000000" w:firstRow="1" w:lastRow="0" w:firstColumn="0" w:lastColumn="0" w:oddVBand="0" w:evenVBand="0" w:oddHBand="0" w:evenHBand="0" w:firstRowFirstColumn="0" w:firstRowLastColumn="0" w:lastRowFirstColumn="0" w:lastRowLastColumn="0"/>
        </w:trPr>
        <w:tc>
          <w:tcPr>
            <w:tcW w:w="372" w:type="dxa"/>
            <w:tcBorders>
              <w:left w:val="nil"/>
            </w:tcBorders>
            <w:vAlign w:val="bottom"/>
          </w:tcPr>
          <w:p>
            <w:pPr>
              <w:pStyle w:val="Style27"/>
              <w:keepNext w:val="true"/>
              <w:keepLines w:val="false"/>
              <w:widowControl w:val="false"/>
              <w:suppressAutoHyphens w:val="true"/>
              <w:spacing w:before="40" w:after="40"/>
              <w:jc w:val="center"/>
              <w:rPr>
                <w:b w:val="false"/>
                <w:bCs/>
                <w:sz w:val="24"/>
                <w:szCs w:val="24"/>
              </w:rPr>
            </w:pPr>
            <w:r>
              <w:rPr>
                <w:rFonts w:eastAsia="Wingdings 3" w:cs="Wingdings 3" w:ascii="Wingdings 3" w:hAnsi="Wingdings 3"/>
                <w:b w:val="false"/>
                <w:bCs/>
                <w:kern w:val="0"/>
                <w:sz w:val="24"/>
                <w:szCs w:val="24"/>
                <w:lang w:val="ru-RU" w:eastAsia="en-US" w:bidi="ar-SA"/>
              </w:rPr>
              <w:sym w:font="Wingdings 3" w:char="f0d4"/>
            </w:r>
          </w:p>
        </w:tc>
        <w:tc>
          <w:tcPr>
            <w:tcW w:w="13634" w:type="dxa"/>
            <w:gridSpan w:val="5"/>
            <w:tcBorders>
              <w:right w:val="nil"/>
            </w:tcBorders>
          </w:tcPr>
          <w:p>
            <w:pPr>
              <w:pStyle w:val="Style27"/>
              <w:keepNext w:val="true"/>
              <w:keepLines w:val="false"/>
              <w:widowControl w:val="false"/>
              <w:suppressAutoHyphens w:val="true"/>
              <w:spacing w:before="40" w:after="40"/>
              <w:jc w:val="center"/>
              <w:rPr>
                <w:b w:val="false"/>
                <w:bCs/>
                <w:sz w:val="24"/>
                <w:szCs w:val="24"/>
              </w:rPr>
            </w:pPr>
            <w:r>
              <w:rPr>
                <w:rFonts w:eastAsia="Calibri" w:cs=""/>
                <w:b/>
                <w:bCs/>
                <w:kern w:val="0"/>
                <w:sz w:val="24"/>
                <w:szCs w:val="24"/>
                <w:lang w:val="ru-RU" w:eastAsia="en-US" w:bidi="ar-SA"/>
              </w:rPr>
              <w:t>Официальное размещение Извещения и Документации о закупке (подраздел </w:t>
            </w:r>
            <w:r>
              <w:rPr>
                <w:rFonts w:eastAsia="Calibri" w:cs=""/>
                <w:b/>
                <w:bCs/>
                <w:kern w:val="0"/>
                <w:sz w:val="24"/>
                <w:szCs w:val="24"/>
                <w:lang w:val="ru-RU" w:eastAsia="en-US" w:bidi="ar-SA"/>
              </w:rPr>
              <w:fldChar w:fldCharType="begin"/>
            </w:r>
            <w:r>
              <w:rPr>
                <w:sz w:val="24"/>
                <w:b/>
                <w:kern w:val="0"/>
                <w:szCs w:val="24"/>
                <w:bCs/>
                <w:rFonts w:eastAsia="Calibri" w:cs=""/>
                <w:lang w:val="ru-RU" w:eastAsia="en-US" w:bidi="ar-SA"/>
              </w:rPr>
              <w:instrText xml:space="preserve"> REF _Ref130286532 \r \h </w:instrText>
            </w:r>
            <w:r>
              <w:rPr>
                <w:sz w:val="24"/>
                <w:b/>
                <w:kern w:val="0"/>
                <w:szCs w:val="24"/>
                <w:bCs/>
                <w:rFonts w:eastAsia="Calibri" w:cs=""/>
                <w:lang w:val="ru-RU" w:eastAsia="en-US" w:bidi="ar-SA"/>
              </w:rPr>
              <w:fldChar w:fldCharType="separate"/>
            </w:r>
            <w:r>
              <w:rPr>
                <w:sz w:val="24"/>
                <w:b/>
                <w:kern w:val="0"/>
                <w:szCs w:val="24"/>
                <w:bCs/>
                <w:rFonts w:eastAsia="Calibri" w:cs=""/>
                <w:lang w:val="ru-RU" w:eastAsia="en-US" w:bidi="ar-SA"/>
              </w:rPr>
              <w:t>4.2</w:t>
            </w:r>
            <w:r>
              <w:rPr>
                <w:sz w:val="24"/>
                <w:b/>
                <w:kern w:val="0"/>
                <w:szCs w:val="24"/>
                <w:bCs/>
                <w:rFonts w:eastAsia="Calibri" w:cs=""/>
                <w:lang w:val="ru-RU" w:eastAsia="en-US" w:bidi="ar-SA"/>
              </w:rPr>
              <w:fldChar w:fldCharType="end"/>
            </w:r>
            <w:r>
              <w:rPr>
                <w:rFonts w:eastAsia="Calibri" w:cs=""/>
                <w:b/>
                <w:bCs/>
                <w:kern w:val="0"/>
                <w:sz w:val="24"/>
                <w:szCs w:val="24"/>
                <w:lang w:val="ru-RU" w:eastAsia="en-US" w:bidi="ar-SA"/>
              </w:rPr>
              <w:t>)</w:t>
            </w:r>
          </w:p>
        </w:tc>
      </w:tr>
      <w:tr>
        <w:trPr/>
        <w:tc>
          <w:tcPr>
            <w:tcW w:w="372" w:type="dxa"/>
            <w:tcBorders>
              <w:left w:val="nil"/>
            </w:tcBorders>
            <w:vAlign w:val="bottom"/>
          </w:tcPr>
          <w:p>
            <w:pPr>
              <w:pStyle w:val="Style27"/>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5303" w:type="dxa"/>
            <w:gridSpan w:val="2"/>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Подготовка заявки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_Ref130281199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827" w:type="dxa"/>
            <w:vMerge w:val="restart"/>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Предоставление разъяснений положений Документации о закупке</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_Ref130394205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69" w:type="dxa"/>
            <w:vMerge w:val="restart"/>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Внесение изменений в Извещение и (или) Документацию о закупке</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_Ref125362076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4.5</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35" w:type="dxa"/>
            <w:vMerge w:val="restart"/>
            <w:tcBorders>
              <w:right w:val="nil"/>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Отказ от проведения закупки (отмена закупки)</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_Ref132816134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4.20</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r>
        <w:trPr/>
        <w:tc>
          <w:tcPr>
            <w:tcW w:w="372" w:type="dxa"/>
            <w:tcBorders>
              <w:left w:val="nil"/>
            </w:tcBorders>
            <w:vAlign w:val="bottom"/>
          </w:tcPr>
          <w:p>
            <w:pPr>
              <w:pStyle w:val="Style27"/>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2652" w:type="dxa"/>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Подача заявок и их прием</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_Ref125362119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51" w:type="dxa"/>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Изменение и отзыв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_Ref125362130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3827" w:type="dxa"/>
            <w:vMerge w:val="continue"/>
            <w:tcBorders/>
          </w:tcPr>
          <w:p>
            <w:pPr>
              <w:pStyle w:val="Style27"/>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7"/>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7"/>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7"/>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11399" w:type="dxa"/>
            <w:gridSpan w:val="4"/>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Открытие доступа к первым частям заявок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_Ref132816188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4.8</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35" w:type="dxa"/>
            <w:tcBorders>
              <w:bottom w:val="nil"/>
              <w:right w:val="nil"/>
            </w:tcBorders>
          </w:tcPr>
          <w:p>
            <w:pPr>
              <w:pStyle w:val="Style27"/>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7"/>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5303" w:type="dxa"/>
            <w:gridSpan w:val="2"/>
            <w:tcBorders/>
            <w:vAlign w:val="center"/>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Рассмотрение первых частей заявок</w:t>
              <w:br/>
              <w:t>(отборочная стадия)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_Ref125362364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4.9</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827" w:type="dxa"/>
            <w:tcBorders/>
            <w:vAlign w:val="center"/>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Направление дополнительных запросов разъяснений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_Ref125362381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4.15</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69" w:type="dxa"/>
            <w:vMerge w:val="restart"/>
            <w:tcBorders>
              <w:top w:val="nil"/>
            </w:tcBorders>
            <w:vAlign w:val="center"/>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Признание закупки</w:t>
              <w:br/>
              <w:t>несостоявшейся</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_Ref125364149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4.19</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35" w:type="dxa"/>
            <w:vMerge w:val="restart"/>
            <w:tcBorders>
              <w:top w:val="nil"/>
              <w:right w:val="nil"/>
            </w:tcBorders>
            <w:vAlign w:val="center"/>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Отказ от проведения закупки (отмена закупки) по обстоятельствам непреодолимой силы в соответствии с гражданским законодательством</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_Ref132816141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4.20</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r>
        <w:trPr/>
        <w:tc>
          <w:tcPr>
            <w:tcW w:w="372" w:type="dxa"/>
            <w:tcBorders>
              <w:left w:val="nil"/>
            </w:tcBorders>
            <w:vAlign w:val="bottom"/>
          </w:tcPr>
          <w:p>
            <w:pPr>
              <w:pStyle w:val="Style27"/>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9130" w:type="dxa"/>
            <w:gridSpan w:val="3"/>
            <w:tcBorders/>
            <w:vAlign w:val="center"/>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Проведение аукциона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_Ref149649965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4.10</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69" w:type="dxa"/>
            <w:vMerge w:val="continue"/>
            <w:tcBorders>
              <w:top w:val="nil"/>
            </w:tcBorders>
            <w:vAlign w:val="center"/>
          </w:tcPr>
          <w:p>
            <w:pPr>
              <w:pStyle w:val="Style27"/>
              <w:widowControl w:val="false"/>
              <w:suppressAutoHyphens w:val="true"/>
              <w:spacing w:before="40" w:after="40"/>
              <w:jc w:val="center"/>
              <w:rPr>
                <w:bCs/>
                <w:sz w:val="24"/>
                <w:szCs w:val="24"/>
              </w:rPr>
            </w:pPr>
            <w:r>
              <w:rPr>
                <w:bCs/>
                <w:sz w:val="24"/>
                <w:szCs w:val="24"/>
              </w:rPr>
            </w:r>
          </w:p>
        </w:tc>
        <w:tc>
          <w:tcPr>
            <w:tcW w:w="2235" w:type="dxa"/>
            <w:vMerge w:val="continue"/>
            <w:tcBorders>
              <w:top w:val="nil"/>
              <w:right w:val="nil"/>
            </w:tcBorders>
            <w:vAlign w:val="center"/>
          </w:tcPr>
          <w:p>
            <w:pPr>
              <w:pStyle w:val="Style27"/>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7"/>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5303" w:type="dxa"/>
            <w:gridSpan w:val="2"/>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Открытие доступа ко вторым частям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_Ref132801184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4.11</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827" w:type="dxa"/>
            <w:vMerge w:val="restart"/>
            <w:tcBorders/>
            <w:vAlign w:val="center"/>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Направление дополнительных запросов разъяснений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_Ref125362381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4.15</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69" w:type="dxa"/>
            <w:vMerge w:val="continue"/>
            <w:tcBorders/>
          </w:tcPr>
          <w:p>
            <w:pPr>
              <w:pStyle w:val="Style27"/>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7"/>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7"/>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2652" w:type="dxa"/>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Рассмотрение вторых частей заявок (отборочная стадия), в том числе (при необходимости) проведение аккредитации</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_Ref132797154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4.12</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51" w:type="dxa"/>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(предоставление национального режима или запрета в отношении работ, услуг)</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_Ref149648944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827" w:type="dxa"/>
            <w:vMerge w:val="continue"/>
            <w:tcBorders/>
          </w:tcPr>
          <w:p>
            <w:pPr>
              <w:pStyle w:val="Style27"/>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7"/>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7"/>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7"/>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5303" w:type="dxa"/>
            <w:gridSpan w:val="2"/>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Открытие доступа к ценовым предложениям</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_Ref149656136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827" w:type="dxa"/>
            <w:vMerge w:val="continue"/>
            <w:tcBorders/>
          </w:tcPr>
          <w:p>
            <w:pPr>
              <w:pStyle w:val="Style27"/>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7"/>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7"/>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7"/>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2652" w:type="dxa"/>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Рассмотрения ценовых предложений</w:t>
              <w:br/>
              <w:t>(отборочная стадия)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_Ref149656148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51" w:type="dxa"/>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w:t>
            </w:r>
            <w:r>
              <w:rPr>
                <w:rFonts w:eastAsia="Calibri" w:cs=""/>
                <w:bCs/>
                <w:kern w:val="0"/>
                <w:sz w:val="24"/>
                <w:szCs w:val="24"/>
                <w:lang w:val="en-US" w:eastAsia="en-US" w:bidi="ar-SA"/>
              </w:rPr>
              <w:t> </w:t>
            </w:r>
            <w:r>
              <w:rPr>
                <w:rFonts w:eastAsia="Calibri" w:cs=""/>
                <w:bCs/>
                <w:kern w:val="0"/>
                <w:sz w:val="24"/>
                <w:szCs w:val="24"/>
                <w:lang w:val="ru-RU" w:eastAsia="en-US" w:bidi="ar-SA"/>
              </w:rPr>
              <w:t>национальном режиме (</w:t>
            </w:r>
            <w:r>
              <w:rPr>
                <w:rFonts w:eastAsia="Calibri" w:cs=""/>
                <w:bCs/>
                <w:kern w:val="0"/>
                <w:sz w:val="24"/>
                <w:szCs w:val="24"/>
                <w:u w:val="single"/>
                <w:lang w:val="ru-RU" w:eastAsia="en-US" w:bidi="ar-SA"/>
              </w:rPr>
              <w:t>предоставление национального режима / запрета, ограничения</w:t>
            </w:r>
            <w:r>
              <w:rPr>
                <w:rFonts w:eastAsia="Calibri" w:cs=""/>
                <w:bCs/>
                <w:kern w:val="0"/>
                <w:sz w:val="24"/>
                <w:szCs w:val="24"/>
                <w:lang w:val="ru-RU" w:eastAsia="en-US" w:bidi="ar-SA"/>
              </w:rPr>
              <w:t xml:space="preserve">) </w:t>
            </w:r>
            <w:r>
              <w:rPr>
                <w:rFonts w:eastAsia="Calibri" w:cs=""/>
                <w:bCs/>
                <w:kern w:val="0"/>
                <w:sz w:val="24"/>
                <w:szCs w:val="24"/>
                <w:u w:val="single"/>
                <w:lang w:val="ru-RU" w:eastAsia="en-US" w:bidi="ar-SA"/>
              </w:rPr>
              <w:t>в отношении товаров</w:t>
            </w:r>
            <w:r>
              <w:rPr>
                <w:rFonts w:eastAsia="Calibri" w:cs=""/>
                <w:bCs/>
                <w:kern w:val="0"/>
                <w:sz w:val="24"/>
                <w:szCs w:val="24"/>
                <w:lang w:val="ru-RU" w:eastAsia="en-US" w:bidi="ar-SA"/>
              </w:rPr>
              <w:t xml:space="preserve"> (подраздел</w:t>
            </w:r>
            <w:r>
              <w:rPr>
                <w:rFonts w:eastAsia="Calibri" w:cs=""/>
                <w:bCs/>
                <w:kern w:val="0"/>
                <w:sz w:val="24"/>
                <w:szCs w:val="24"/>
                <w:lang w:val="en-US" w:eastAsia="en-US" w:bidi="ar-SA"/>
              </w:rPr>
              <w:t>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_Ref149648944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827" w:type="dxa"/>
            <w:vMerge w:val="continue"/>
            <w:tcBorders/>
          </w:tcPr>
          <w:p>
            <w:pPr>
              <w:pStyle w:val="Style27"/>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7"/>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7"/>
              <w:widowControl w:val="false"/>
              <w:suppressAutoHyphens w:val="true"/>
              <w:spacing w:before="40" w:after="40"/>
              <w:jc w:val="center"/>
              <w:rPr>
                <w:bCs/>
                <w:sz w:val="24"/>
                <w:szCs w:val="24"/>
              </w:rPr>
            </w:pPr>
            <w:r>
              <w:rPr>
                <w:bCs/>
                <w:sz w:val="24"/>
                <w:szCs w:val="24"/>
              </w:rPr>
            </w:r>
          </w:p>
        </w:tc>
      </w:tr>
      <w:tr>
        <w:trPr>
          <w:trHeight w:val="351" w:hRule="atLeast"/>
        </w:trPr>
        <w:tc>
          <w:tcPr>
            <w:tcW w:w="372" w:type="dxa"/>
            <w:tcBorders>
              <w:left w:val="nil"/>
              <w:bottom w:val="dashed" w:sz="4" w:space="0" w:color="000000"/>
            </w:tcBorders>
            <w:vAlign w:val="bottom"/>
          </w:tcPr>
          <w:p>
            <w:pPr>
              <w:pStyle w:val="Style27"/>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5303" w:type="dxa"/>
            <w:gridSpan w:val="2"/>
            <w:tcBorders>
              <w:bottom w:val="dashed" w:sz="4" w:space="0" w:color="000000"/>
            </w:tcBorders>
            <w:vAlign w:val="center"/>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Оценка и сопоставление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_Ref125362626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827" w:type="dxa"/>
            <w:tcBorders>
              <w:bottom w:val="dashed" w:sz="4" w:space="0" w:color="000000"/>
            </w:tcBorders>
            <w:vAlign w:val="center"/>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(в части учета установленного преимущества в цене предложения, если применимо)</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_Ref149648944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69" w:type="dxa"/>
            <w:vMerge w:val="continue"/>
            <w:tcBorders/>
          </w:tcPr>
          <w:p>
            <w:pPr>
              <w:pStyle w:val="Style27"/>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7"/>
              <w:widowControl w:val="false"/>
              <w:suppressAutoHyphens w:val="true"/>
              <w:spacing w:before="40" w:after="40"/>
              <w:jc w:val="center"/>
              <w:rPr>
                <w:bCs/>
                <w:sz w:val="24"/>
                <w:szCs w:val="24"/>
              </w:rPr>
            </w:pPr>
            <w:r>
              <w:rPr>
                <w:bCs/>
                <w:sz w:val="24"/>
                <w:szCs w:val="24"/>
              </w:rPr>
            </w:r>
          </w:p>
        </w:tc>
      </w:tr>
      <w:tr>
        <w:trPr/>
        <w:tc>
          <w:tcPr>
            <w:tcW w:w="372" w:type="dxa"/>
            <w:tcBorders>
              <w:left w:val="nil"/>
              <w:bottom w:val="dashed" w:sz="4" w:space="0" w:color="000000"/>
            </w:tcBorders>
            <w:vAlign w:val="bottom"/>
          </w:tcPr>
          <w:p>
            <w:pPr>
              <w:pStyle w:val="Style27"/>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9130" w:type="dxa"/>
            <w:gridSpan w:val="3"/>
            <w:tcBorders>
              <w:bottom w:val="dashed" w:sz="4" w:space="0" w:color="000000"/>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Подведение итогов закупки</w:t>
              <w:br/>
              <w:t>(определение Победителя)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_Ref125362658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4.18</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69" w:type="dxa"/>
            <w:vMerge w:val="continue"/>
            <w:tcBorders/>
          </w:tcPr>
          <w:p>
            <w:pPr>
              <w:pStyle w:val="Style27"/>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7"/>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7"/>
              <w:widowControl w:val="false"/>
              <w:suppressAutoHyphens w:val="true"/>
              <w:spacing w:before="40" w:after="40"/>
              <w:jc w:val="center"/>
              <w:rPr>
                <w:bCs/>
                <w:sz w:val="24"/>
                <w:szCs w:val="24"/>
              </w:rPr>
            </w:pPr>
            <w:r>
              <w:rPr>
                <w:rFonts w:eastAsia="Wingdings 3" w:cs="Wingdings 3" w:ascii="Wingdings 3" w:hAnsi="Wingdings 3"/>
                <w:bCs/>
                <w:kern w:val="0"/>
                <w:sz w:val="24"/>
                <w:szCs w:val="24"/>
                <w:u w:val="single"/>
                <w:lang w:val="ru-RU" w:eastAsia="en-US" w:bidi="ar-SA"/>
              </w:rPr>
              <w:sym w:font="Wingdings 3" w:char="f0d4"/>
            </w:r>
          </w:p>
        </w:tc>
        <w:tc>
          <w:tcPr>
            <w:tcW w:w="5303" w:type="dxa"/>
            <w:gridSpan w:val="2"/>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Заключение Договора</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_Ref138341423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5.2</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8331" w:type="dxa"/>
            <w:gridSpan w:val="3"/>
            <w:tcBorders>
              <w:right w:val="nil"/>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Уклонение Победителя от заключения Договора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_Ref125367068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bl>
    <w:p>
      <w:pPr>
        <w:sectPr>
          <w:headerReference w:type="default" r:id="rId4"/>
          <w:headerReference w:type="first" r:id="rId5"/>
          <w:footerReference w:type="default" r:id="rId6"/>
          <w:footerReference w:type="first" r:id="rId7"/>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22"/>
        <w:rPr/>
      </w:pPr>
      <w:bookmarkStart w:id="110" w:name="_Ref130286532"/>
      <w:bookmarkStart w:id="111" w:name="_Toc228877210"/>
      <w:r>
        <w:rPr/>
        <w:t>Официальное размещение Извещения и Документации о закупке</w:t>
      </w:r>
      <w:bookmarkEnd w:id="110"/>
      <w:bookmarkEnd w:id="111"/>
    </w:p>
    <w:p>
      <w:pPr>
        <w:pStyle w:val="Style23"/>
        <w:rPr/>
      </w:pPr>
      <w:r>
        <w:rPr/>
        <w:t>Извещение и Документация о закупке официально размещены на Официальном сайте (ЕИС) и доступны для ознакомления без взимания платы. Иные публикации не влекут для Организатора никаких последствий.</w:t>
      </w:r>
    </w:p>
    <w:p>
      <w:pPr>
        <w:pStyle w:val="Style23"/>
        <w:rPr/>
      </w:pPr>
      <w:r>
        <w:rPr/>
        <w:t>При возникновении технических или иных неполадок, блокирующих доступ к Официальному сайту (ЕИС) в течение более чем 1 (одного) рабочего дня, информация размещается на официальном сайте Заказчика с последующим размещением ее на Официальном сайте (ЕИС) в течение 1 (одного) рабочего дня со дня устранения указанных неполадок.</w:t>
      </w:r>
    </w:p>
    <w:p>
      <w:pPr>
        <w:pStyle w:val="Style23"/>
        <w:rPr/>
      </w:pPr>
      <w:bookmarkStart w:id="112" w:name="_Ref125362785"/>
      <w:r>
        <w:rPr/>
        <w:t>Участники могут получить Документацию о закупке также через ЭП. Порядок получения информации через ЭП определяется Регламентом ЭП, с использованием которой проводится закупка.</w:t>
      </w:r>
      <w:bookmarkEnd w:id="112"/>
    </w:p>
    <w:p>
      <w:pPr>
        <w:pStyle w:val="Style23"/>
        <w:rPr/>
      </w:pPr>
      <w:r>
        <w:rPr/>
        <w:t>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p>
    <w:p>
      <w:pPr>
        <w:pStyle w:val="Style22"/>
        <w:rPr/>
      </w:pPr>
      <w:bookmarkStart w:id="113" w:name="_Ref130281199"/>
      <w:bookmarkStart w:id="114" w:name="_Ref130394681"/>
      <w:bookmarkStart w:id="115" w:name="_Toc228877211"/>
      <w:r>
        <w:rPr/>
        <w:t>Подготовка заявки</w:t>
      </w:r>
      <w:bookmarkEnd w:id="113"/>
      <w:bookmarkEnd w:id="114"/>
      <w:bookmarkEnd w:id="115"/>
    </w:p>
    <w:p>
      <w:pPr>
        <w:pStyle w:val="Style23"/>
        <w:rPr/>
      </w:pPr>
      <w:r>
        <w:rPr/>
        <w:t>Участник должен подготовить заявку с учетом требований Документации о закупке.</w:t>
      </w:r>
    </w:p>
    <w:p>
      <w:pPr>
        <w:pStyle w:val="Style23"/>
        <w:rPr/>
      </w:pPr>
      <w:r>
        <w:rPr/>
        <w:t>Участник самостоятельно несет все расходы, связанные с подготовкой и подачей заявки (подраздел </w:t>
      </w:r>
      <w:r>
        <w:rPr/>
        <w:fldChar w:fldCharType="begin"/>
      </w:r>
      <w:r>
        <w:rPr/>
        <w:instrText xml:space="preserve"> REF _Ref125362119 \r \h </w:instrText>
      </w:r>
      <w:r>
        <w:rPr/>
        <w:fldChar w:fldCharType="separate"/>
      </w:r>
      <w:r>
        <w:rPr/>
        <w:t>4.6</w:t>
      </w:r>
      <w:r>
        <w:rPr/>
        <w:fldChar w:fldCharType="end"/>
      </w:r>
      <w:r>
        <w:rPr/>
        <w:t>), а Организатор (Заказчик) по этим расходам не отвечает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p>
    <w:p>
      <w:pPr>
        <w:pStyle w:val="Style23"/>
        <w:rPr/>
      </w:pPr>
      <w:r>
        <w:rPr/>
        <w:t xml:space="preserve">Участник должен подготовить заявку, включающую в себя полный комплект документов согласно перечню, определенному </w:t>
      </w:r>
      <w:hyperlink w:anchor="Прил06_СоставЗаявки">
        <w:r>
          <w:rPr>
            <w:rStyle w:val="Style11"/>
          </w:rPr>
          <w:t>Приложением № 6 – Состав заявки</w:t>
        </w:r>
      </w:hyperlink>
      <w:r>
        <w:rPr/>
        <w:t xml:space="preserve">. Образцы форм документов, включаемых в состав заявки, а также инструкции по их подготовке, приведены в </w:t>
      </w:r>
      <w:hyperlink w:anchor="Прил04_ФормыЗаявки">
        <w:r>
          <w:rPr>
            <w:rStyle w:val="Style11"/>
          </w:rPr>
          <w:t>Приложение № 4</w:t>
        </w:r>
      </w:hyperlink>
      <w:r>
        <w:rPr/>
        <w:t>.</w:t>
      </w:r>
    </w:p>
    <w:p>
      <w:pPr>
        <w:pStyle w:val="Style23"/>
        <w:rPr/>
      </w:pPr>
      <w:r>
        <w:rPr/>
        <w:t xml:space="preserve">Непосредственно перед подачей заявки Участник должен разделить подготовленные документы на отдельные части: </w:t>
      </w:r>
      <w:bookmarkStart w:id="116" w:name="_Hlk132886098"/>
      <w:r>
        <w:rPr/>
        <w:t xml:space="preserve">первую часть и вторую часть </w:t>
      </w:r>
      <w:bookmarkEnd w:id="116"/>
      <w:r>
        <w:rPr/>
        <w:t xml:space="preserve">в соответствии с перечнем документов, входящих в каждую из частей, определенному </w:t>
      </w:r>
      <w:hyperlink w:anchor="Прил06_СоставЗаявки">
        <w:r>
          <w:rPr>
            <w:rStyle w:val="Style11"/>
          </w:rPr>
          <w:t>Приложением № 6 – Состав заявки</w:t>
        </w:r>
      </w:hyperlink>
      <w:r>
        <w:rPr/>
        <w:t>.</w:t>
      </w:r>
    </w:p>
    <w:p>
      <w:pPr>
        <w:pStyle w:val="Style23"/>
        <w:rPr/>
      </w:pPr>
      <w:r>
        <w:rPr/>
        <w:t>В первую часть заявки должны входить документы, содержащие исключительно описание предлагаемой к поставке продукции, которая является предметом настоящей закупки (без указания сведений об Участнике и (или) о его ценовом предложении).</w:t>
      </w:r>
    </w:p>
    <w:p>
      <w:pPr>
        <w:pStyle w:val="Style23"/>
        <w:rPr/>
      </w:pPr>
      <w:r>
        <w:rPr/>
        <w:t>Во вторую часть заявки должны входить документы, содержащие сведения об Участнике и информацию о его соответствии требованиям Документации о закупке, копии документов, подтверждающих соответствие поставляемой продукции, требованиям Документации о закупке, установленным в соответствии с законодательством (в случае установления таких требований в Документации о закупке).</w:t>
      </w:r>
    </w:p>
    <w:p>
      <w:pPr>
        <w:pStyle w:val="Style23"/>
        <w:rPr/>
      </w:pPr>
      <w:r>
        <w:rPr/>
        <w:t>При этом документы, входящие в состав первой части заявки, не должны подаваться на фирменном бланке Участника или иным образом содержать сведения, идентифицирующие его (наименование, адрес местонахождения, номер контактного телефона, адрес электронной почты, сайт в информационно-телекоммуникационной сети «Интернет» и т.п.).</w:t>
      </w:r>
    </w:p>
    <w:p>
      <w:pPr>
        <w:pStyle w:val="Style23"/>
        <w:rPr/>
      </w:pPr>
      <w:r>
        <w:rPr/>
        <w:t>В случае обнаружения в первой части заявки сведений об Участнике и (или) его ценовом предложении, такая заявка подлежит отклонению.</w:t>
      </w:r>
    </w:p>
    <w:p>
      <w:pPr>
        <w:pStyle w:val="Style23"/>
        <w:rPr/>
      </w:pPr>
      <w:bookmarkStart w:id="117" w:name="_Ref130394854"/>
      <w:bookmarkStart w:id="118" w:name="_Ref125365866"/>
      <w:r>
        <w:rPr/>
        <w:t>Участник имеет право подать только одну заявку. При этом не допускается подача заявки на часть лота по отдельным видам или объемам продукции. В случае нарушения этого требования (при получении заявки на часть лота и (или) при получении двух и более заявок от одного Участника в рамках одного лота) все поданные им заявки подлежат отклонению.</w:t>
      </w:r>
      <w:bookmarkEnd w:id="117"/>
      <w:bookmarkEnd w:id="118"/>
    </w:p>
    <w:p>
      <w:pPr>
        <w:pStyle w:val="Style23"/>
        <w:rPr/>
      </w:pPr>
      <w:r>
        <w:rPr/>
        <w:t>Заявка должна быть действительна в течение срока проведения закупки и до истечения срока, отведенного на заключение Договора (пункт </w:t>
      </w:r>
      <w:r>
        <w:rPr/>
        <w:fldChar w:fldCharType="begin"/>
      </w:r>
      <w:r>
        <w:rPr/>
        <w:instrText xml:space="preserve"> REF _Ref130293821 \r \h </w:instrText>
      </w:r>
      <w:r>
        <w:rPr/>
        <w:fldChar w:fldCharType="separate"/>
      </w:r>
      <w:r>
        <w:rPr/>
        <w:t>5.2.1</w:t>
      </w:r>
      <w:r>
        <w:rPr/>
        <w:fldChar w:fldCharType="end"/>
      </w:r>
      <w:r>
        <w:rPr/>
        <w:t>). В любом случае этот срок должен быть не менее чем 90 (девяносто) календарных дней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Указание меньшего срока действия заявки в Письме о подаче оферты (форма 2) (</w:t>
      </w:r>
      <w:hyperlink w:anchor="Прил04_ФормыЗаявки">
        <w:r>
          <w:rPr>
            <w:rStyle w:val="Style11"/>
          </w:rPr>
          <w:t>Приложение № 4</w:t>
        </w:r>
      </w:hyperlink>
      <w:r>
        <w:rPr/>
        <w:t>) может служить основанием для отклонения заявки.</w:t>
      </w:r>
    </w:p>
    <w:p>
      <w:pPr>
        <w:pStyle w:val="Style23"/>
        <w:rPr/>
      </w:pPr>
      <w:r>
        <w:rPr/>
        <w:t>Все документы, входящие в состав заявки, должны быть подготовлены на русском языке. Исключение составляют документы, оригиналы которых выданы Участнику третьими лицами на ином языке: они могут быть представлены на языке оригинала при условии, что к ним приложен перевод этих документов на русский язык (в специально оговоренных случаях – с апостилем согласно Гаагской конвенции 1961 года).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 рассматривать документы, не переведенные на русский язык.</w:t>
      </w:r>
    </w:p>
    <w:p>
      <w:pPr>
        <w:pStyle w:val="Style23"/>
        <w:rPr/>
      </w:pPr>
      <w:r>
        <w:rPr/>
        <w:t>Все суммы денежных средств в документах, входящих в состав заявки, в том числе в ценовое предложение, должны быть выражены в российских рублях. Исключение составляют документы, оригиналы которых выданы Участнику третьими лицами с выражением сумм денежных средств в иных валютах: они могут быть представлены в валюте оригинала при условии, что к ним будут приложены комментарии с переводом этих сумм в российские рубли (по официальному курсу валюты, установленному Центральным банком Российской Федерации на дату выдачи документа, с указанием такого курса).</w:t>
      </w:r>
    </w:p>
    <w:p>
      <w:pPr>
        <w:pStyle w:val="Style23"/>
        <w:rPr/>
      </w:pPr>
      <w:bookmarkStart w:id="119" w:name="_Ref125370700"/>
      <w:bookmarkStart w:id="120" w:name="_Ref125370708"/>
      <w:r>
        <w:rPr/>
        <w:t>Итоговая стоимость заявки (цена Договора) без учета НДС не должна превышать установленную Заказчиком НМЦ (подраздел </w:t>
      </w:r>
      <w:r>
        <w:rPr/>
        <w:fldChar w:fldCharType="begin"/>
      </w:r>
      <w:r>
        <w:rPr/>
        <w:instrText xml:space="preserve"> REF _Ref125359973 \r \h </w:instrText>
      </w:r>
      <w:r>
        <w:rPr/>
        <w:fldChar w:fldCharType="separate"/>
      </w:r>
      <w:r>
        <w:rPr/>
        <w:t>1.2</w:t>
      </w:r>
      <w:r>
        <w:rPr/>
        <w:fldChar w:fldCharType="end"/>
      </w:r>
      <w:r>
        <w:rPr/>
        <w:t>), в противном случае заявка будет отклонена.</w:t>
      </w:r>
    </w:p>
    <w:p>
      <w:pPr>
        <w:pStyle w:val="Style23"/>
        <w:rPr/>
      </w:pPr>
      <w:r>
        <w:rPr/>
        <w:t xml:space="preserve">Итоговая стоимость заявки (цена Договора) должна включать в себя сумму всех расходов, предусмотренных </w:t>
      </w:r>
      <w:hyperlink w:anchor="Прил01_ТехТребования">
        <w:r>
          <w:rPr>
            <w:rStyle w:val="Style11"/>
          </w:rPr>
          <w:t>Техническими требованиями (Приложение № 1)</w:t>
        </w:r>
      </w:hyperlink>
      <w:r>
        <w:rPr/>
        <w:t xml:space="preserve"> и </w:t>
      </w:r>
      <w:hyperlink w:anchor="Прил02_ПроектДоговора">
        <w:r>
          <w:rPr>
            <w:rStyle w:val="Style11"/>
          </w:rPr>
          <w:t>Проектом договора (Приложение № 2)</w:t>
        </w:r>
      </w:hyperlink>
      <w:r>
        <w:rPr/>
        <w:t>, а также сумму налогов (</w:t>
      </w:r>
      <w:r>
        <w:rPr>
          <w:rFonts w:cs="Times New Roman"/>
        </w:rPr>
        <w:t>за исключением НДС, в случае его уплаты</w:t>
      </w:r>
      <w:r>
        <w:rPr/>
        <w:t>) и других обязательных платежей, подлежащих уплате в соответствии с нормами законодательства (если иное не установлено Документацией о закупке). При этом сумма НДС (в случае его уплаты) выделяется отдельно и не входит в итоговую стоимость заявки Участника, являющегося плательщиком НДС.</w:t>
      </w:r>
      <w:bookmarkEnd w:id="119"/>
      <w:bookmarkEnd w:id="120"/>
    </w:p>
    <w:p>
      <w:pPr>
        <w:pStyle w:val="Style23"/>
        <w:rPr/>
      </w:pPr>
      <w:r>
        <w:rPr/>
        <w:t xml:space="preserve">В качестве Технического предложения Участник в составе заявки предоставляет по установленной форме (форма 4; </w:t>
      </w:r>
      <w:hyperlink w:anchor="Прил04_ФормыЗаявки">
        <w:r>
          <w:rPr>
            <w:rStyle w:val="Style11"/>
          </w:rPr>
          <w:t>Приложение № 4</w:t>
        </w:r>
      </w:hyperlink>
      <w:r>
        <w:rPr/>
        <w:t xml:space="preserve">) согласие (декларацию) на поставку продукции на условиях, указанных в Документации о закупке, в том числе в </w:t>
      </w:r>
      <w:hyperlink w:anchor="Прил01_ТехТребования">
        <w:r>
          <w:rPr>
            <w:rStyle w:val="Style11"/>
          </w:rPr>
          <w:t>Технических требованиях (Приложение № 1)</w:t>
        </w:r>
      </w:hyperlink>
      <w:r>
        <w:rPr/>
        <w:t>, и не подлежащих изменению по результатам проведения закупки (без подробных предложений). В случае нарушения Участником требований к описанию продукции Организатор вправе отклонить заявку такого Участника от дальнейшего участия в закупке.</w:t>
      </w:r>
    </w:p>
    <w:p>
      <w:pPr>
        <w:pStyle w:val="Style23"/>
        <w:keepNext w:val="true"/>
        <w:rPr/>
      </w:pPr>
      <w:r>
        <w:rPr/>
        <w:t>При подготовке заявки необходимо также учитывать требования в отношении применения законодательства о национальном режиме (подраздел </w:t>
      </w:r>
      <w:r>
        <w:rPr/>
        <w:fldChar w:fldCharType="begin"/>
      </w:r>
      <w:r>
        <w:rPr/>
        <w:instrText xml:space="preserve"> REF _Ref125359973 \r \h </w:instrText>
      </w:r>
      <w:r>
        <w:rPr/>
        <w:fldChar w:fldCharType="separate"/>
      </w:r>
      <w:r>
        <w:rPr/>
        <w:t>1.2</w:t>
      </w:r>
      <w:r>
        <w:rPr/>
        <w:fldChar w:fldCharType="end"/>
      </w:r>
      <w:r>
        <w:rPr/>
        <w:t>).</w:t>
      </w:r>
    </w:p>
    <w:p>
      <w:pPr>
        <w:pStyle w:val="Style23"/>
        <w:keepNext w:val="true"/>
        <w:rPr/>
      </w:pPr>
      <w:r>
        <w:rPr/>
        <w:t>Документы, входящие в заявку, не должны содержать недостоверные сведения или намеренно искаженную информацию. Также должны отсутствовать:</w:t>
      </w:r>
    </w:p>
    <w:p>
      <w:pPr>
        <w:pStyle w:val="Style24"/>
        <w:rPr/>
      </w:pPr>
      <w:r>
        <w:rPr/>
        <w:t>внутренние противоречия между различными частями и (или) документами заявки, в том числе по тексту внутри одного документа;</w:t>
      </w:r>
    </w:p>
    <w:p>
      <w:pPr>
        <w:pStyle w:val="Style24"/>
        <w:rPr/>
      </w:pPr>
      <w:bookmarkStart w:id="121" w:name="_Ref125370398"/>
      <w:bookmarkStart w:id="122" w:name="_Ref125714384"/>
      <w:r>
        <w:rPr/>
        <w:t>противоречия между документами заявки и сведениями, указанными Участником в структурированных формах на ЭП.</w:t>
      </w:r>
      <w:bookmarkEnd w:id="121"/>
      <w:bookmarkEnd w:id="122"/>
    </w:p>
    <w:p>
      <w:pPr>
        <w:pStyle w:val="Style23"/>
        <w:rPr/>
      </w:pPr>
      <w:r>
        <w:rPr/>
        <w:t>Представленные в составе заявки документы, оформленные / выданные государственными, лицензирующими, сертификационными, аккредитационными органами и (или) саморегулируемыми организациями, должны соответствовать императивным требованиям (при наличии) законодательства в отношении:</w:t>
      </w:r>
    </w:p>
    <w:p>
      <w:pPr>
        <w:pStyle w:val="Style24"/>
        <w:rPr/>
      </w:pPr>
      <w:r>
        <w:rPr/>
        <w:t>полномочий таких органов / лиц на оформление этих документов;</w:t>
      </w:r>
    </w:p>
    <w:p>
      <w:pPr>
        <w:pStyle w:val="Style24"/>
        <w:rPr/>
      </w:pPr>
      <w:r>
        <w:rPr/>
        <w:t>формы, объема и содержания этих документов.</w:t>
      </w:r>
    </w:p>
    <w:p>
      <w:pPr>
        <w:pStyle w:val="Style23"/>
        <w:keepNext w:val="true"/>
        <w:rPr/>
      </w:pPr>
      <w:r>
        <w:rPr/>
        <w:t>Участник должен подготовить заявку с соблюдением следующих условий:</w:t>
      </w:r>
    </w:p>
    <w:p>
      <w:pPr>
        <w:pStyle w:val="Style24"/>
        <w:rPr/>
      </w:pPr>
      <w:r>
        <w:rPr/>
        <w:t>документы заявки могут предоставляться как в графическом виде (в том числе в виде скан-копии, рекомендуемый формат: Portable Document Format (*.</w:t>
      </w:r>
      <w:r>
        <w:rPr>
          <w:lang w:val="en-US"/>
        </w:rPr>
        <w:t>pdf</w:t>
      </w:r>
      <w:r>
        <w:rPr/>
        <w:t>)); так и в электронном виде (в формате Microsoft Word (*.doc</w:t>
      </w:r>
      <w:r>
        <w:rPr>
          <w:lang w:val="en-US"/>
        </w:rPr>
        <w:t>x</w:t>
      </w:r>
      <w:r>
        <w:rPr/>
        <w:t>), Microsoft Excel (*.xls</w:t>
      </w:r>
      <w:r>
        <w:rPr>
          <w:lang w:val="en-US"/>
        </w:rPr>
        <w:t>x</w:t>
      </w:r>
      <w:r>
        <w:rPr/>
        <w:t>), и других). Исключение составляют Письмо о подаче оферты, а также документы, выданные Участнику третьими лицами, которые должны быть предоставлены только в графическом виде (в том числе в виде скан-копии, рекомендуемый формат: Portable Document Format (*.</w:t>
      </w:r>
      <w:r>
        <w:rPr>
          <w:lang w:val="en-US"/>
        </w:rPr>
        <w:t>pdf</w:t>
      </w:r>
      <w:r>
        <w:rPr/>
        <w:t>));</w:t>
      </w:r>
    </w:p>
    <w:p>
      <w:pPr>
        <w:pStyle w:val="Style24"/>
        <w:rPr/>
      </w:pPr>
      <w:r>
        <w:rPr/>
        <w:t>электронные копии документов, заверенные третьей стороной,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pPr>
        <w:pStyle w:val="Style24"/>
        <w:rPr/>
      </w:pPr>
      <w:r>
        <w:rPr/>
        <w:t>все файлы не должны иметь защиты от их открытия, изменения, копирования их содержимого или их печати;</w:t>
      </w:r>
    </w:p>
    <w:p>
      <w:pPr>
        <w:pStyle w:val="Style24"/>
        <w:rPr/>
      </w:pPr>
      <w:r>
        <w:rPr/>
        <w:t>файлы электронной заявки рекомендуется именовать так, чтобы можно было идентифицировать содержание данного файла заявки (указать в названии файла содержащийся в нем документ). Каждый документ рекомендуется размещать в отдельном файле;</w:t>
      </w:r>
    </w:p>
    <w:p>
      <w:pPr>
        <w:pStyle w:val="Style24"/>
        <w:rPr/>
      </w:pPr>
      <w:r>
        <w:rPr/>
        <w:t>если какой-либо документ представлен в нечитаемом виде, данный документ считается непредставленным.</w:t>
      </w:r>
    </w:p>
    <w:p>
      <w:pPr>
        <w:pStyle w:val="Style23"/>
        <w:rPr/>
      </w:pPr>
      <w:r>
        <w:rPr/>
        <w:t>Никакие исправления в документах заявки не имеют силу, за исключением 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p>
    <w:p>
      <w:pPr>
        <w:pStyle w:val="Style22"/>
        <w:rPr/>
      </w:pPr>
      <w:bookmarkStart w:id="123" w:name="_Ref130394205"/>
      <w:bookmarkStart w:id="124" w:name="_Ref130394785"/>
      <w:bookmarkStart w:id="125" w:name="_Ref130394802"/>
      <w:bookmarkStart w:id="126" w:name="_Toc228877212"/>
      <w:bookmarkStart w:id="127" w:name="_Ref125361260"/>
      <w:bookmarkStart w:id="128" w:name="_Ref125362071"/>
      <w:bookmarkStart w:id="129" w:name="_Ref125366672"/>
      <w:r>
        <w:rPr/>
        <w:t>Разъяснение Документации о закупке</w:t>
      </w:r>
      <w:bookmarkEnd w:id="123"/>
      <w:bookmarkEnd w:id="124"/>
      <w:bookmarkEnd w:id="125"/>
      <w:bookmarkEnd w:id="126"/>
      <w:bookmarkEnd w:id="127"/>
      <w:bookmarkEnd w:id="128"/>
      <w:bookmarkEnd w:id="129"/>
    </w:p>
    <w:p>
      <w:pPr>
        <w:pStyle w:val="Style23"/>
        <w:rPr/>
      </w:pPr>
      <w:r>
        <w:rPr/>
        <w:t>Участники вправе обратиться к Организатору за разъяснениями Документации о закупке.</w:t>
      </w:r>
    </w:p>
    <w:p>
      <w:pPr>
        <w:pStyle w:val="Style23"/>
        <w:rPr/>
      </w:pPr>
      <w:r>
        <w:rPr/>
        <w:t>Запросы подаются в соответствии с Регламентами и инструкциями Оператора ЭП, опубликованными на сайте соответствующей ЭП.</w:t>
      </w:r>
    </w:p>
    <w:p>
      <w:pPr>
        <w:pStyle w:val="Style23"/>
        <w:rPr/>
      </w:pPr>
      <w:r>
        <w:rPr/>
        <w:t>Организатор обязуется ответить на любой вопрос, поступивший не позднее чем за 3 (три) рабочих дня до даты окончания срока подачи заявок. В случае поступления вопросов с нарушением установленного срока Организатор вправе не предоставлять разъяснения.</w:t>
      </w:r>
    </w:p>
    <w:p>
      <w:pPr>
        <w:pStyle w:val="Style23"/>
        <w:rPr/>
      </w:pPr>
      <w:r>
        <w:rPr/>
        <w:t>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rPr/>
        <w:fldChar w:fldCharType="begin"/>
      </w:r>
      <w:r>
        <w:rPr/>
        <w:instrText xml:space="preserve"> REF _Ref125359973 \r \h </w:instrText>
      </w:r>
      <w:r>
        <w:rPr/>
        <w:fldChar w:fldCharType="separate"/>
      </w:r>
      <w:r>
        <w:rPr/>
        <w:t>1.2</w:t>
      </w:r>
      <w:r>
        <w:rPr/>
        <w:fldChar w:fldCharType="end"/>
      </w:r>
      <w:r>
        <w:rPr/>
        <w:t>, но в любом случае не позднее чем в течение 3 (трех) рабочих дней с даты поступления такого запроса. Копия ответа размещается Организатором на ЭП.</w:t>
      </w:r>
    </w:p>
    <w:p>
      <w:pPr>
        <w:pStyle w:val="Style23"/>
        <w:rPr/>
      </w:pPr>
      <w:r>
        <w:rPr/>
        <w:t>Организатор также вправе по собственной инициативе (без получения запросов от Участников) официально разместить разъяснения Документации о закупке.</w:t>
      </w:r>
    </w:p>
    <w:p>
      <w:pPr>
        <w:pStyle w:val="Style23"/>
        <w:rPr/>
      </w:pPr>
      <w:r>
        <w:rPr/>
        <w:t xml:space="preserve">Разъяснения Документации о закупке носят справочный характер и не могут изменять предмет закупки и условия </w:t>
      </w:r>
      <w:hyperlink w:anchor="Прил02_ПроектДоговора">
        <w:r>
          <w:rPr>
            <w:rStyle w:val="Style11"/>
          </w:rPr>
          <w:t>Проекта договора (Приложения № 2)</w:t>
        </w:r>
      </w:hyperlink>
      <w:r>
        <w:rPr>
          <w:rStyle w:val="Style11"/>
        </w:rPr>
        <w:t>,</w:t>
      </w:r>
      <w:r>
        <w:rPr/>
        <w:t xml:space="preserve"> в противном случае вносятся изменения в Документацию о закупке. При этом Участники обязаны учитывать разъяснения Организатора при подготовке своих заявок. Все риски и последствия за подачу заявки без учета официально размещенных разъяснений несет Участник.</w:t>
      </w:r>
    </w:p>
    <w:p>
      <w:pPr>
        <w:pStyle w:val="Style23"/>
        <w:rPr/>
      </w:pPr>
      <w:r>
        <w:rPr/>
        <w:t>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 вправе на нее ссылаться.</w:t>
      </w:r>
    </w:p>
    <w:p>
      <w:pPr>
        <w:pStyle w:val="Style22"/>
        <w:rPr/>
      </w:pPr>
      <w:bookmarkStart w:id="130" w:name="_Ref125362076"/>
      <w:bookmarkStart w:id="131" w:name="_Ref125363891"/>
      <w:bookmarkStart w:id="132" w:name="_Ref125364404"/>
      <w:bookmarkStart w:id="133" w:name="_Toc228877213"/>
      <w:r>
        <w:rPr/>
        <w:t>Изменения Извещения и (или) Документации о закупке</w:t>
      </w:r>
      <w:bookmarkEnd w:id="130"/>
      <w:bookmarkEnd w:id="131"/>
      <w:bookmarkEnd w:id="132"/>
      <w:bookmarkEnd w:id="133"/>
    </w:p>
    <w:p>
      <w:pPr>
        <w:pStyle w:val="Style23"/>
        <w:rPr/>
      </w:pPr>
      <w:r>
        <w:rPr/>
        <w:t>Организатор в любой момент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вправе внести изменения в Извещение и (или) Документацию о закупке. При этом официальному размещению подлежит обновленная редакция Извещения и (или) Документации о закупке, а также перечень внесенных изменений в них.</w:t>
      </w:r>
    </w:p>
    <w:p>
      <w:pPr>
        <w:pStyle w:val="Style23"/>
        <w:keepNext w:val="true"/>
        <w:rPr/>
      </w:pPr>
      <w:r>
        <w:rPr/>
        <w:t>После окончания срока подачи заявок допускается изменение только в части установленных Документацией о закупке дат (</w:t>
      </w:r>
      <w:bookmarkStart w:id="134" w:name="_Hlk149650101"/>
      <w:r>
        <w:rPr/>
        <w:t>и если необходимо времени</w:t>
      </w:r>
      <w:bookmarkEnd w:id="134"/>
      <w:r>
        <w:rPr/>
        <w:t>):</w:t>
      </w:r>
    </w:p>
    <w:p>
      <w:pPr>
        <w:pStyle w:val="Style24"/>
        <w:rPr/>
      </w:pPr>
      <w:r>
        <w:rPr/>
        <w:t>рассмотрения первых частей заявок;</w:t>
      </w:r>
    </w:p>
    <w:p>
      <w:pPr>
        <w:pStyle w:val="Style24"/>
        <w:rPr/>
      </w:pPr>
      <w:r>
        <w:rPr/>
        <w:t>проведения аукциона;</w:t>
      </w:r>
    </w:p>
    <w:p>
      <w:pPr>
        <w:pStyle w:val="Style24"/>
        <w:rPr/>
      </w:pPr>
      <w:r>
        <w:rPr/>
        <w:t>рассмотрения вторых частей заявок;</w:t>
      </w:r>
    </w:p>
    <w:p>
      <w:pPr>
        <w:pStyle w:val="Style24"/>
        <w:rPr/>
      </w:pPr>
      <w:r>
        <w:rPr/>
        <w:t>подведения итогов закупки;</w:t>
      </w:r>
    </w:p>
    <w:p>
      <w:pPr>
        <w:pStyle w:val="Style27"/>
        <w:ind w:left="1134" w:hanging="0"/>
        <w:rPr/>
      </w:pPr>
      <w:bookmarkStart w:id="135" w:name="_Ref125550844"/>
      <w:r>
        <w:rPr/>
        <w:t>в пределах срока действия заявок и с уведомлением Участников, подавших заявки.</w:t>
      </w:r>
      <w:bookmarkEnd w:id="135"/>
    </w:p>
    <w:p>
      <w:pPr>
        <w:pStyle w:val="Style23"/>
        <w:rPr/>
      </w:pPr>
      <w:r>
        <w:rPr/>
        <w:t>Текст изменений официально размещается в течение 3 (трех) календарных дней со дня принятия решения о внесении указанных изменений. Все Участники, официально получившие Документацию о закупке через ЭП, получат соответствующие уведомления в порядке, установленном Регламентом ЭП.</w:t>
      </w:r>
    </w:p>
    <w:p>
      <w:pPr>
        <w:pStyle w:val="Style23"/>
        <w:rPr/>
      </w:pPr>
      <w:r>
        <w:rPr/>
        <w:t>При внесении изменений в Документацию о закупке (за исключением указанного в пункте </w:t>
      </w:r>
      <w:r>
        <w:rPr/>
        <w:fldChar w:fldCharType="begin"/>
      </w:r>
      <w:r>
        <w:rPr/>
        <w:instrText xml:space="preserve"> REF _Ref125550844 \r \h </w:instrText>
      </w:r>
      <w:r>
        <w:rPr/>
        <w:fldChar w:fldCharType="separate"/>
      </w:r>
      <w:r>
        <w:rPr/>
      </w:r>
      <w:r>
        <w:rPr/>
        <w:fldChar w:fldCharType="end"/>
      </w:r>
      <w:r>
        <w:rPr/>
        <w:t>),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 половины от минимального срока подачи заявок, установленного в Положении о закупке для данного способа, а именно:</w:t>
      </w:r>
    </w:p>
    <w:p>
      <w:pPr>
        <w:pStyle w:val="Style24"/>
        <w:rPr/>
      </w:pPr>
      <w:r>
        <w:rPr/>
        <w:t>4 (четырех) календарных дней, если НМЦ закупки (подраздел </w:t>
      </w:r>
      <w:r>
        <w:rPr/>
        <w:fldChar w:fldCharType="begin"/>
      </w:r>
      <w:r>
        <w:rPr/>
        <w:instrText xml:space="preserve"> REF _Ref125359973 \r \h </w:instrText>
      </w:r>
      <w:r>
        <w:rPr/>
        <w:fldChar w:fldCharType="separate"/>
      </w:r>
      <w:r>
        <w:rPr/>
        <w:t>1.2</w:t>
      </w:r>
      <w:r>
        <w:rPr/>
        <w:fldChar w:fldCharType="end"/>
      </w:r>
      <w:r>
        <w:rPr/>
        <w:t>) не превышает 30 000 000 (тридцать миллионов) рублей без НДС;</w:t>
      </w:r>
    </w:p>
    <w:p>
      <w:pPr>
        <w:pStyle w:val="Style24"/>
        <w:rPr/>
      </w:pPr>
      <w:r>
        <w:rPr/>
        <w:t>8 (восьми) календарных дней, если НМЦ закупки (подраздел </w:t>
      </w:r>
      <w:r>
        <w:rPr/>
        <w:fldChar w:fldCharType="begin"/>
      </w:r>
      <w:r>
        <w:rPr/>
        <w:instrText xml:space="preserve"> REF _Ref125359973 \r \h </w:instrText>
      </w:r>
      <w:r>
        <w:rPr/>
        <w:fldChar w:fldCharType="separate"/>
      </w:r>
      <w:r>
        <w:rPr/>
        <w:t>1.2</w:t>
      </w:r>
      <w:r>
        <w:rPr/>
        <w:fldChar w:fldCharType="end"/>
      </w:r>
      <w:r>
        <w:rPr/>
        <w:t>) превышает 30 000 000 (тридцать миллионов) рублей без НДС.</w:t>
      </w:r>
    </w:p>
    <w:p>
      <w:pPr>
        <w:pStyle w:val="Style23"/>
        <w:rPr/>
      </w:pPr>
      <w:r>
        <w:rPr/>
        <w:t>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p>
    <w:p>
      <w:pPr>
        <w:pStyle w:val="Style22"/>
        <w:rPr/>
      </w:pPr>
      <w:bookmarkStart w:id="136" w:name="_Ref125362119"/>
      <w:bookmarkStart w:id="137" w:name="_Toc228877214"/>
      <w:r>
        <w:rPr/>
        <w:t>Подача заявок и их прием</w:t>
      </w:r>
      <w:bookmarkEnd w:id="136"/>
      <w:bookmarkEnd w:id="137"/>
    </w:p>
    <w:p>
      <w:pPr>
        <w:pStyle w:val="Style23"/>
        <w:rPr/>
      </w:pPr>
      <w:r>
        <w:rPr/>
        <w:t>Участник вправе подать одну подготовленную заявку на участие в закупке в любое время начиная с даты официального размещения Извещения и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При этом первая и вторая части заявок подаются Участниками одновременно. Заявки, поданные позднее установленного срока, не могут быть приняты Организатором, независимо от причин опоздания. Ценовые предложения Участниками вместе с заявкой не подаются – порядок подачи ценового предложения в рамках процедуры аукциона установлен в подразделе </w:t>
      </w:r>
      <w:r>
        <w:rPr/>
        <w:fldChar w:fldCharType="begin"/>
      </w:r>
      <w:r>
        <w:rPr/>
        <w:instrText xml:space="preserve"> REF _Ref149650136 \r \h </w:instrText>
      </w:r>
      <w:r>
        <w:rPr/>
        <w:fldChar w:fldCharType="separate"/>
      </w:r>
      <w:r>
        <w:rPr/>
        <w:t>4.10</w:t>
      </w:r>
      <w:r>
        <w:rPr/>
        <w:fldChar w:fldCharType="end"/>
      </w:r>
      <w:r>
        <w:rPr/>
        <w:t>.</w:t>
      </w:r>
    </w:p>
    <w:p>
      <w:pPr>
        <w:pStyle w:val="Style23"/>
        <w:rPr/>
      </w:pPr>
      <w:r>
        <w:rPr/>
        <w:t>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Документации о закупке (включая все приложения к ней).</w:t>
      </w:r>
    </w:p>
    <w:p>
      <w:pPr>
        <w:pStyle w:val="Style23"/>
        <w:rPr/>
      </w:pPr>
      <w:r>
        <w:rPr/>
        <w:t>Заявка должна быть подготовлена в форме электронного документа и подана с использованием функционала ЭП в доступном для прочтения формате. При этом Участник должен сканировать документы после того, как они будут оформлены в соответствии с требованиями Документации о закупке.</w:t>
      </w:r>
    </w:p>
    <w:p>
      <w:pPr>
        <w:pStyle w:val="Style23"/>
        <w:rPr/>
      </w:pPr>
      <w:r>
        <w:rPr/>
        <w:t xml:space="preserve">Заявка должна быть подписана </w:t>
      </w:r>
      <w:bookmarkStart w:id="138" w:name="_Hlk219296949"/>
      <w:r>
        <w:rPr/>
        <w:t xml:space="preserve">усиленной квалифицированной </w:t>
      </w:r>
      <w:bookmarkEnd w:id="138"/>
      <w:r>
        <w:rPr/>
        <w:t>электронной подписью лица, которое является уполномоченным представителем Участника.</w:t>
      </w:r>
    </w:p>
    <w:p>
      <w:pPr>
        <w:pStyle w:val="Style23"/>
        <w:rPr/>
      </w:pPr>
      <w:r>
        <w:rPr/>
        <w:t>Правила подачи заявок также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p>
    <w:p>
      <w:pPr>
        <w:pStyle w:val="Style23"/>
        <w:rPr/>
      </w:pPr>
      <w:r>
        <w:rPr/>
        <w:t>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p>
    <w:p>
      <w:pPr>
        <w:pStyle w:val="Style23"/>
        <w:rPr/>
      </w:pPr>
      <w:r>
        <w:rPr/>
        <w:t>Оператор ЭП до окончания срока подачи заявок обеспечивает конфиденциальность информации, содержащейся в поданных заявках.</w:t>
      </w:r>
    </w:p>
    <w:p>
      <w:pPr>
        <w:pStyle w:val="Style22"/>
        <w:rPr/>
      </w:pPr>
      <w:bookmarkStart w:id="139" w:name="_Ref125362130"/>
      <w:bookmarkStart w:id="140" w:name="_Ref125362192"/>
      <w:bookmarkStart w:id="141" w:name="_Ref125363819"/>
      <w:bookmarkStart w:id="142" w:name="_Ref125365136"/>
      <w:bookmarkStart w:id="143" w:name="_Toc228877215"/>
      <w:r>
        <w:rPr/>
        <w:t>Изменение и отзыв заявок</w:t>
      </w:r>
      <w:bookmarkEnd w:id="139"/>
      <w:bookmarkEnd w:id="140"/>
      <w:bookmarkEnd w:id="141"/>
      <w:bookmarkEnd w:id="142"/>
      <w:bookmarkEnd w:id="143"/>
    </w:p>
    <w:p>
      <w:pPr>
        <w:pStyle w:val="Style23"/>
        <w:rPr/>
      </w:pPr>
      <w:r>
        <w:rPr/>
        <w:t>Участник вправе изменить или отозвать поданную им ранее заявку до момента окончания срока подачи заявок. Внесение изменений в заявку, отзыв заявки после этого времени не допускаются, кроме случаев, прямо предусмотренных Документацией о закупке.</w:t>
      </w:r>
    </w:p>
    <w:p>
      <w:pPr>
        <w:pStyle w:val="Style23"/>
        <w:rPr/>
      </w:pPr>
      <w:r>
        <w:rPr/>
        <w:t>Отзыв Участником ранее поданной заявки является отказом от участия в закупке, отозванные заявки не рассматриваются Организатором по существу.</w:t>
      </w:r>
    </w:p>
    <w:p>
      <w:pPr>
        <w:pStyle w:val="Style23"/>
        <w:rPr/>
      </w:pPr>
      <w:r>
        <w:rPr/>
        <w:t>Изменение и отзыв Участником ранее поданной заявки осуществляется в порядке, аналогичном порядку подачи и приема заявок, установленному в подразделе </w:t>
      </w:r>
      <w:r>
        <w:rPr/>
        <w:fldChar w:fldCharType="begin"/>
      </w:r>
      <w:r>
        <w:rPr/>
        <w:instrText xml:space="preserve"> REF _Ref125362119 \w \h </w:instrText>
      </w:r>
      <w:r>
        <w:rPr/>
        <w:fldChar w:fldCharType="separate"/>
      </w:r>
      <w:r>
        <w:rPr/>
        <w:t>4.6</w:t>
      </w:r>
      <w:r>
        <w:rPr/>
        <w:fldChar w:fldCharType="end"/>
      </w:r>
      <w:r>
        <w:rPr/>
        <w:t>.</w:t>
      </w:r>
    </w:p>
    <w:p>
      <w:pPr>
        <w:pStyle w:val="Style23"/>
        <w:rPr/>
      </w:pPr>
      <w:r>
        <w:rPr/>
        <w:t>Изменения и отзыв заявки осуществляется посредством функционала ЭП (подробный порядок определяется Регламентом ЭП).</w:t>
      </w:r>
    </w:p>
    <w:p>
      <w:pPr>
        <w:pStyle w:val="Style22"/>
        <w:rPr/>
      </w:pPr>
      <w:bookmarkStart w:id="144" w:name="_Ref132816188"/>
      <w:bookmarkStart w:id="145" w:name="_Toc228877216"/>
      <w:r>
        <w:rPr/>
        <w:t>Открытие доступа к первым частям заявок</w:t>
      </w:r>
      <w:bookmarkEnd w:id="144"/>
      <w:bookmarkEnd w:id="145"/>
    </w:p>
    <w:p>
      <w:pPr>
        <w:pStyle w:val="Style23"/>
        <w:rPr/>
      </w:pPr>
      <w:bookmarkStart w:id="146" w:name="_Hlk149310876"/>
      <w:r>
        <w:rPr/>
        <w:t>Оператор ЭП направляет в адрес Организатора первые части заявок в срок не позднее 1 (одного) дня, следующего за днем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bookmarkEnd w:id="146"/>
    </w:p>
    <w:p>
      <w:pPr>
        <w:pStyle w:val="Style23"/>
        <w:rPr/>
      </w:pPr>
      <w:bookmarkStart w:id="147" w:name="_Hlk149310910"/>
      <w:r>
        <w:rPr/>
        <w:t>Подробные правила открытия Организатору доступа к первым частям заявок определяются Регламентом ЭП, с использованием которой проводится закупка. При этом Оператор ЭП обеспечивает конфиденциальность сведений о наименовании Участников, в том числе сведений, указанных в сертификатах ключей электронной подписи, которой подписана заявка, а также обеспечивает конфиденциальность сведений, содержащихся в первых частях заявок, от Участников такой закупки.</w:t>
      </w:r>
      <w:bookmarkEnd w:id="147"/>
    </w:p>
    <w:p>
      <w:pPr>
        <w:pStyle w:val="Style22"/>
        <w:rPr/>
      </w:pPr>
      <w:bookmarkStart w:id="148" w:name="_Ref125362364"/>
      <w:bookmarkStart w:id="149" w:name="_Ref125366689"/>
      <w:bookmarkStart w:id="150" w:name="_Toc228877217"/>
      <w:r>
        <w:rPr/>
        <w:t>Рассмотрение первых частей заявок (отборочная стадия)</w:t>
      </w:r>
      <w:bookmarkEnd w:id="148"/>
      <w:bookmarkEnd w:id="149"/>
      <w:bookmarkEnd w:id="150"/>
    </w:p>
    <w:p>
      <w:pPr>
        <w:pStyle w:val="Style23"/>
        <w:rPr/>
      </w:pPr>
      <w:r>
        <w:rPr/>
        <w:t>Дата окончания срока рассмотрения первых частей заявок установлена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ее, официально разместив информацию об этом.</w:t>
      </w:r>
    </w:p>
    <w:p>
      <w:pPr>
        <w:pStyle w:val="Style23"/>
        <w:rPr/>
      </w:pPr>
      <w:r>
        <w:rPr/>
        <w:t xml:space="preserve">В рамках рассмотрения первых частей заявок (отборочной стадии) осуществляется проверка каждой заявки на предмет соответствия </w:t>
      </w:r>
      <w:hyperlink w:anchor="Прил07_ОтборочныеКритерии">
        <w:r>
          <w:rPr>
            <w:rStyle w:val="Style11"/>
          </w:rPr>
          <w:t>Отборочным критериям рассмотрения заявок (Приложение № 7)</w:t>
        </w:r>
      </w:hyperlink>
      <w:r>
        <w:rPr/>
        <w:t>.</w:t>
      </w:r>
    </w:p>
    <w:p>
      <w:pPr>
        <w:pStyle w:val="Style23"/>
        <w:rPr/>
      </w:pPr>
      <w:r>
        <w:rPr/>
        <w:t>Рассмотрение первых частей заявок проводится на основании представленных в составе заявки документов и сведений.</w:t>
      </w:r>
    </w:p>
    <w:p>
      <w:pPr>
        <w:pStyle w:val="Style23"/>
        <w:keepNext w:val="true"/>
        <w:rPr/>
      </w:pPr>
      <w:bookmarkStart w:id="151" w:name="_Ref125551456"/>
      <w:r>
        <w:rPr/>
        <w:t>По результатам рассмотрения первых частей заявок (проведения отборочной стадии) Закупочная комиссия отклоняет заявки по следующим основаниям:</w:t>
      </w:r>
      <w:bookmarkEnd w:id="151"/>
    </w:p>
    <w:p>
      <w:pPr>
        <w:pStyle w:val="Style24"/>
        <w:rPr/>
      </w:pPr>
      <w:r>
        <w:rPr/>
        <w:t>несоответствие первой части заявки по составу</w:t>
      </w:r>
      <w:r>
        <w:rPr>
          <w:rStyle w:val="FootnoteReference"/>
        </w:rPr>
        <w:footnoteReference w:id="4"/>
      </w:r>
      <w:r>
        <w:rPr/>
        <w:t>, содержанию и соблюдению требований Документации о закупке к подготовке (оформлению) заявки, в том числе наличие:</w:t>
      </w:r>
    </w:p>
    <w:p>
      <w:pPr>
        <w:pStyle w:val="Style25"/>
        <w:rPr/>
      </w:pPr>
      <w:r>
        <w:rPr/>
        <w:t>недостоверных сведений или намеренно искаженной информации или документов;</w:t>
      </w:r>
    </w:p>
    <w:p>
      <w:pPr>
        <w:pStyle w:val="Style25"/>
        <w:rPr/>
      </w:pPr>
      <w:r>
        <w:rPr/>
        <w:t>внутренних противоречий между различными частями и (или) документами первой части заявки, в том числе по тексту внутри одного документа;</w:t>
      </w:r>
    </w:p>
    <w:p>
      <w:pPr>
        <w:pStyle w:val="Style24"/>
        <w:rPr/>
      </w:pPr>
      <w:r>
        <w:rPr/>
        <w:t>несоответствие предлагаемой продукции требованиям Документации о закупке, в том числе порядка описания такой продукции;</w:t>
      </w:r>
    </w:p>
    <w:p>
      <w:pPr>
        <w:pStyle w:val="Style24"/>
        <w:rPr/>
      </w:pPr>
      <w:r>
        <w:rPr/>
        <w:t>несоответствие предлагаемых договорных условий требованиям Документации о закупке;</w:t>
      </w:r>
    </w:p>
    <w:p>
      <w:pPr>
        <w:pStyle w:val="Style24"/>
        <w:rPr/>
      </w:pPr>
      <w:r>
        <w:rPr/>
        <w:t>наличие в документах первой части заявки сведений об Участники и (или) о его ценовом предложении.</w:t>
      </w:r>
    </w:p>
    <w:p>
      <w:pPr>
        <w:pStyle w:val="Style23"/>
        <w:keepNext w:val="true"/>
        <w:rPr/>
      </w:pPr>
      <w:r>
        <w:rPr/>
        <w:t>Решение Закупочной комиссии по рассмотрению первых частей заявок оформляется протоколом, в котором, как минимум, указываются</w:t>
      </w:r>
      <w:r>
        <w:rPr>
          <w:rStyle w:val="FootnoteReference"/>
        </w:rPr>
        <w:footnoteReference w:id="5"/>
      </w:r>
      <w:r>
        <w:rPr/>
        <w:t>:</w:t>
      </w:r>
    </w:p>
    <w:p>
      <w:pPr>
        <w:pStyle w:val="Style24"/>
        <w:rPr/>
      </w:pPr>
      <w:r>
        <w:rPr/>
        <w:t>дата подписания протокола;</w:t>
      </w:r>
    </w:p>
    <w:p>
      <w:pPr>
        <w:pStyle w:val="Style24"/>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4"/>
        <w:rPr/>
      </w:pPr>
      <w:r>
        <w:rPr/>
        <w:t>идентификационные номера, присваиваемые Оператором ЭП;</w:t>
      </w:r>
    </w:p>
    <w:p>
      <w:pPr>
        <w:pStyle w:val="Style24"/>
        <w:keepNext w:val="true"/>
        <w:rPr/>
      </w:pPr>
      <w:r>
        <w:rPr/>
        <w:t>результаты рассмотрения первых частей заявок с указанием, в том числе:</w:t>
      </w:r>
    </w:p>
    <w:p>
      <w:pPr>
        <w:pStyle w:val="Style25"/>
        <w:rPr/>
      </w:pPr>
      <w:r>
        <w:rPr/>
        <w:t>количества заявок, которые были отклонены по результатам рассмотрения первых частей заявок;</w:t>
      </w:r>
    </w:p>
    <w:p>
      <w:pPr>
        <w:pStyle w:val="Style25"/>
        <w:rPr/>
      </w:pPr>
      <w:r>
        <w:rPr/>
        <w:t>оснований отклонения каждой заявки с указанием положений Документации о закупке, которым не соответствует первая часть такой заявка;</w:t>
      </w:r>
    </w:p>
    <w:p>
      <w:pPr>
        <w:pStyle w:val="Style24"/>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4.19</w:t>
      </w:r>
      <w:r>
        <w:rPr/>
        <w:fldChar w:fldCharType="end"/>
      </w:r>
      <w:r>
        <w:rPr/>
        <w:t xml:space="preserve"> (в случае ее признания таковой).</w:t>
      </w:r>
    </w:p>
    <w:p>
      <w:pPr>
        <w:pStyle w:val="Style23"/>
        <w:rPr/>
      </w:pPr>
      <w:r>
        <w:rPr/>
        <w:t>Протокол рассмотрения первых частей заявок направляется Организатором Оператору ЭП не позднее 3 (трех) календарных дней с даты подписания такого протокола, но в любом случае до начала проведения аукциона; после чего он официально размещается (подраздел </w:t>
      </w:r>
      <w:r>
        <w:rPr/>
        <w:fldChar w:fldCharType="begin"/>
      </w:r>
      <w:r>
        <w:rPr/>
        <w:instrText xml:space="preserve"> REF _Ref130286532 \r \h </w:instrText>
      </w:r>
      <w:r>
        <w:rPr/>
        <w:fldChar w:fldCharType="separate"/>
      </w:r>
      <w:r>
        <w:rPr/>
        <w:t>4.2</w:t>
      </w:r>
      <w:r>
        <w:rPr/>
        <w:fldChar w:fldCharType="end"/>
      </w:r>
      <w:r>
        <w:rPr/>
        <w:t>) Оператором ЭП в течение 1 (одного) часа с момента его получения от Организатора.</w:t>
      </w:r>
    </w:p>
    <w:p>
      <w:pPr>
        <w:pStyle w:val="Style22"/>
        <w:rPr/>
      </w:pPr>
      <w:bookmarkStart w:id="152" w:name="_Ref149649965"/>
      <w:bookmarkStart w:id="153" w:name="_Ref149650136"/>
      <w:bookmarkStart w:id="154" w:name="_Toc228877218"/>
      <w:r>
        <w:rPr/>
        <w:t>Проведение аукциона</w:t>
      </w:r>
      <w:bookmarkEnd w:id="152"/>
      <w:bookmarkEnd w:id="153"/>
      <w:bookmarkEnd w:id="154"/>
    </w:p>
    <w:p>
      <w:pPr>
        <w:pStyle w:val="Style23"/>
        <w:rPr/>
      </w:pPr>
      <w:r>
        <w:rPr/>
        <w:t>Процедура аукциона проводится на ЭП в порядке, предусмотренном настоящим подразделом и Регламентом ЭП.</w:t>
      </w:r>
    </w:p>
    <w:p>
      <w:pPr>
        <w:pStyle w:val="Style23"/>
        <w:rPr/>
      </w:pPr>
      <w:r>
        <w:rPr/>
        <w:t>Оператор ЭП обеспечивает непрерывность проведения аукциона, надежность функционирования используемых программных и технических средств, равный доступ Участников к участию в нем, а также выполнение предусмотренного Регламентом ЭП порядка на протяжении всего срока проведения аукциона.</w:t>
      </w:r>
    </w:p>
    <w:p>
      <w:pPr>
        <w:pStyle w:val="Style23"/>
        <w:rPr/>
      </w:pPr>
      <w:r>
        <w:rPr/>
        <w:t>В аукционе могут участвовать только Участники, заявки которых были признаны Закупочной комиссией соответствующими по результатам рассмотрения первых частей заявок (подраздел </w:t>
      </w:r>
      <w:r>
        <w:rPr/>
        <w:fldChar w:fldCharType="begin"/>
      </w:r>
      <w:r>
        <w:rPr/>
        <w:instrText xml:space="preserve"> REF _Ref125362364 \r \h </w:instrText>
      </w:r>
      <w:r>
        <w:rPr/>
        <w:fldChar w:fldCharType="separate"/>
      </w:r>
      <w:r>
        <w:rPr/>
        <w:t>4.9</w:t>
      </w:r>
      <w:r>
        <w:rPr/>
        <w:fldChar w:fldCharType="end"/>
      </w:r>
      <w:r>
        <w:rPr/>
        <w:t>).</w:t>
      </w:r>
    </w:p>
    <w:p>
      <w:pPr>
        <w:pStyle w:val="Style23"/>
        <w:rPr/>
      </w:pPr>
      <w:r>
        <w:rPr/>
        <w:t>Дата и время проведения аукциона установлены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их, официально разместив информацию об этом.</w:t>
      </w:r>
    </w:p>
    <w:p>
      <w:pPr>
        <w:pStyle w:val="Style23"/>
        <w:rPr/>
      </w:pPr>
      <w:r>
        <w:rPr/>
        <w:t>Аукцион проводится путем снижения НМЦ, а затем текущей минимальной ценовой ставки – на произвольную величину в пределах «шага аукциона» (подраздел </w:t>
      </w:r>
      <w:r>
        <w:rPr/>
        <w:fldChar w:fldCharType="begin"/>
      </w:r>
      <w:r>
        <w:rPr/>
        <w:instrText xml:space="preserve"> REF _Ref125359973 \r \h </w:instrText>
      </w:r>
      <w:r>
        <w:rPr/>
        <w:fldChar w:fldCharType="separate"/>
      </w:r>
      <w:r>
        <w:rPr/>
        <w:t>1.2</w:t>
      </w:r>
      <w:r>
        <w:rPr/>
        <w:fldChar w:fldCharType="end"/>
      </w:r>
      <w:r>
        <w:rPr/>
        <w:t xml:space="preserve">). </w:t>
      </w:r>
      <w:bookmarkStart w:id="155" w:name="_Hlk149642663"/>
      <w:r>
        <w:rPr/>
        <w:t>Снижение стоимости заявки на величину, меньше «шага аукциона», не допускается.</w:t>
      </w:r>
      <w:bookmarkEnd w:id="155"/>
      <w:r>
        <w:rPr/>
        <w:t xml:space="preserve"> Снижение стоимости заявки на величину, превышающую «шаг аукциона», не допускается.</w:t>
      </w:r>
    </w:p>
    <w:p>
      <w:pPr>
        <w:pStyle w:val="Style23"/>
        <w:rPr/>
      </w:pPr>
      <w:r>
        <w:rPr/>
        <w:t>Аукцион проводится однократно, при этом в ходе аукциона Участники вправе неоднократно посредством новой ценовой ставки предлагать снижение стоимости своей заявки до момента окончания аукциона, за исключением случая, когда предыдущая ценовая ставка была сделана этим же Участником.</w:t>
      </w:r>
    </w:p>
    <w:p>
      <w:pPr>
        <w:pStyle w:val="Style23"/>
        <w:rPr/>
      </w:pPr>
      <w:r>
        <w:rPr/>
        <w:t>Участники подают ценовые ставки анонимно для других Участников под присвоенными им Оператором ЭП идентификационными номерами.</w:t>
      </w:r>
    </w:p>
    <w:p>
      <w:pPr>
        <w:pStyle w:val="Style23"/>
        <w:rPr/>
      </w:pPr>
      <w:r>
        <w:rPr/>
        <w:t>При проведении аукциона Оператором ЭП устанавливается время приема ценовых ставок Участников до окончания аукциона. Если в течение указанного времени, а также 10 (десяти) минут после поступления последней ценовой ставки ни одной более низкой ценовой ставки не поступило, процедура аукциона автоматически завершается с помощью программных и технических средств ЭП.</w:t>
      </w:r>
    </w:p>
    <w:p>
      <w:pPr>
        <w:pStyle w:val="Style23"/>
        <w:rPr/>
      </w:pPr>
      <w:r>
        <w:rPr/>
        <w:t>Каждая новая ценовая ставка Участника должна быть меньше предыдущей, а также не должна равняться нулю. Изменение стоимости заявки, предлагаемой Участником в процессе проведения аукциона, не должно повлечь за собой изменение иных условий заявки, в том числе отклонения (в сторону ухудшения) от требований, условий Заказчика, описанных в Документации о закупке, коммерческих интересов Заказчика.</w:t>
      </w:r>
    </w:p>
    <w:p>
      <w:pPr>
        <w:pStyle w:val="Style23"/>
        <w:rPr/>
      </w:pPr>
      <w:r>
        <w:rPr/>
        <w:t>Если в ходе аукциона стоимость заявки снижена до нуля, ход аукциона на понижение стоимости автоматически, без изменения состава Участников, переходит на повышение стоимости заявки.</w:t>
      </w:r>
    </w:p>
    <w:p>
      <w:pPr>
        <w:pStyle w:val="Style23"/>
        <w:rPr/>
      </w:pPr>
      <w:bookmarkStart w:id="156" w:name="_Ref149645598"/>
      <w:r>
        <w:rPr/>
        <w:t xml:space="preserve">Участники, принявшие участие в процедуре аукциона, обязаны в течение 1 (одного) рабочего дня после завершения аукциона разместить на ЭП полный комплект документов, входящих в ценовое предложение согласно перечню, определенному </w:t>
      </w:r>
      <w:hyperlink w:anchor="Прил06_СоставЗаявки">
        <w:r>
          <w:rPr>
            <w:rStyle w:val="Style11"/>
          </w:rPr>
          <w:t>Приложением № 6 – Состав заявки</w:t>
        </w:r>
      </w:hyperlink>
      <w:r>
        <w:rPr/>
        <w:t>, в соответствии с заявленной им в ходе проведения аукциона ценовой ставкой.</w:t>
      </w:r>
      <w:bookmarkEnd w:id="156"/>
    </w:p>
    <w:p>
      <w:pPr>
        <w:pStyle w:val="Style23"/>
        <w:rPr/>
      </w:pPr>
      <w:r>
        <w:rPr/>
        <w:t>Участники, которые не приняли участие в процедуре аукциона (не подали ни одного предложения по снижению стоимости заявки – ценовой ставки), считаются не подавшими ценовые предложения, и заявки таких Участников отклоняются на этапе рассмотрения вторых частей заявок (подраздел </w:t>
      </w:r>
      <w:r>
        <w:rPr/>
        <w:fldChar w:fldCharType="begin"/>
      </w:r>
      <w:r>
        <w:rPr/>
        <w:instrText xml:space="preserve"> REF _Ref132797154 \r \h </w:instrText>
      </w:r>
      <w:r>
        <w:rPr/>
        <w:fldChar w:fldCharType="separate"/>
      </w:r>
      <w:r>
        <w:rPr/>
        <w:t>4.12</w:t>
      </w:r>
      <w:r>
        <w:rPr/>
        <w:fldChar w:fldCharType="end"/>
      </w:r>
      <w:r>
        <w:rPr/>
        <w:t>).</w:t>
      </w:r>
    </w:p>
    <w:p>
      <w:pPr>
        <w:pStyle w:val="Style22"/>
        <w:rPr/>
      </w:pPr>
      <w:bookmarkStart w:id="157" w:name="_Ref132801184"/>
      <w:bookmarkStart w:id="158" w:name="_Toc228877219"/>
      <w:r>
        <w:rPr/>
        <w:t>Открытие доступа ко вторым частям заявок</w:t>
      </w:r>
      <w:bookmarkEnd w:id="157"/>
      <w:bookmarkEnd w:id="158"/>
    </w:p>
    <w:p>
      <w:pPr>
        <w:pStyle w:val="Style23"/>
        <w:rPr/>
      </w:pPr>
      <w:bookmarkStart w:id="159" w:name="_Hlk149645475"/>
      <w:r>
        <w:rPr/>
        <w:t>Оператор ЭП в срок, установленный в подразделе </w:t>
      </w:r>
      <w:r>
        <w:rPr/>
        <w:fldChar w:fldCharType="begin"/>
      </w:r>
      <w:r>
        <w:rPr/>
        <w:instrText xml:space="preserve"> REF _Ref125359973 \r \h </w:instrText>
      </w:r>
      <w:r>
        <w:rPr/>
        <w:fldChar w:fldCharType="separate"/>
      </w:r>
      <w:r>
        <w:rPr/>
        <w:t>1.2</w:t>
      </w:r>
      <w:r>
        <w:rPr/>
        <w:fldChar w:fldCharType="end"/>
      </w:r>
      <w:r>
        <w:rPr/>
        <w:t>, направляет в адрес Организатора вторые части заявок Участников, которые приняли участие в процедуре аукциона.</w:t>
      </w:r>
      <w:bookmarkEnd w:id="159"/>
    </w:p>
    <w:p>
      <w:pPr>
        <w:pStyle w:val="Style23"/>
        <w:rPr/>
      </w:pPr>
      <w:r>
        <w:rPr/>
        <w:t>Срок направления Оператором ЭП вторых частей заявок в адрес Организатора не может быть ранее даты и времени официального размещения протокола рассмотрения первых частей заявок, а также даты и времени окончания процедуры аукциона – подачи Участниками ценовых предложений.</w:t>
      </w:r>
    </w:p>
    <w:p>
      <w:pPr>
        <w:pStyle w:val="Style23"/>
        <w:rPr/>
      </w:pPr>
      <w:r>
        <w:rPr/>
        <w:t>Подробные правила открытия Организатору доступа ко вторым частям заявок определяются Регламентом ЭП, с использованием которой проводится закупка. Оператор ЭП обеспечивает конфиденциальность сведений содержащихся во вторых частях заявок Участников такой закупки.</w:t>
      </w:r>
    </w:p>
    <w:p>
      <w:pPr>
        <w:pStyle w:val="Style22"/>
        <w:rPr/>
      </w:pPr>
      <w:bookmarkStart w:id="160" w:name="_Ref132797154"/>
      <w:bookmarkStart w:id="161" w:name="_Toc228877220"/>
      <w:r>
        <w:rPr/>
        <w:t>Рассмотрение вторых частей заявок (отборочная стадия), в том числе (при необходимости) проведение аккредитации</w:t>
      </w:r>
      <w:bookmarkEnd w:id="160"/>
      <w:bookmarkEnd w:id="161"/>
    </w:p>
    <w:p>
      <w:pPr>
        <w:pStyle w:val="Style23"/>
        <w:rPr/>
      </w:pPr>
      <w:r>
        <w:rPr/>
        <w:t>Дата окончания срока рассмотрения вторых частей заявок установлена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ее, официально разместив информацию об этом.</w:t>
      </w:r>
    </w:p>
    <w:p>
      <w:pPr>
        <w:pStyle w:val="Style23"/>
        <w:rPr/>
      </w:pPr>
      <w:r>
        <w:rPr/>
        <w:t xml:space="preserve">В рамках рассмотрения вторых частей заявок (отборочной стадии) осуществляется проверка каждой заявки, не отклоненной по результатам рассмотрения первых частей заявок, на предмет соответствия </w:t>
      </w:r>
      <w:hyperlink w:anchor="Прил07_ОтборочныеКритерии">
        <w:r>
          <w:rPr>
            <w:rStyle w:val="Style11"/>
          </w:rPr>
          <w:t>Отборочным критериям рассмотрения заявок (Приложение № 7)</w:t>
        </w:r>
      </w:hyperlink>
      <w:r>
        <w:rPr/>
        <w:t>, в том числе проводится процедура аккредитации Участников (при необходимости).</w:t>
      </w:r>
    </w:p>
    <w:p>
      <w:pPr>
        <w:pStyle w:val="Style23"/>
        <w:rPr/>
      </w:pPr>
      <w:r>
        <w:rPr/>
        <w:t>Рассмотрение вторых частей заявок проводится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p>
    <w:p>
      <w:pPr>
        <w:pStyle w:val="Style23"/>
        <w:keepNext w:val="true"/>
        <w:rPr/>
      </w:pPr>
      <w:bookmarkStart w:id="162" w:name="_Ref132793926"/>
      <w:r>
        <w:rPr/>
        <w:t>По результатам рассмотрения вторых частей заявок (проведения отборочной стадии) Закупочная комиссия отклоняет заявки по следующим основаниям:</w:t>
      </w:r>
      <w:bookmarkEnd w:id="162"/>
    </w:p>
    <w:p>
      <w:pPr>
        <w:pStyle w:val="Style24"/>
        <w:rPr/>
      </w:pPr>
      <w:r>
        <w:rPr/>
        <w:t>несоответствие второй части заявки по составу, содержанию и соблюдению требований Документации о закупке к подготовке (оформлению) заявки, в том числе наличие:</w:t>
      </w:r>
    </w:p>
    <w:p>
      <w:pPr>
        <w:pStyle w:val="Style25"/>
        <w:rPr/>
      </w:pPr>
      <w:r>
        <w:rPr/>
        <w:t>недостоверных сведений или намеренно искаженной информации или документов;</w:t>
      </w:r>
    </w:p>
    <w:p>
      <w:pPr>
        <w:pStyle w:val="Style25"/>
        <w:rPr/>
      </w:pPr>
      <w:r>
        <w:rPr/>
        <w:t>внутренних противоречий между различными частями и (или) документами второй части заявки, в том числе по тексту внутри одного документа;</w:t>
      </w:r>
    </w:p>
    <w:p>
      <w:pPr>
        <w:pStyle w:val="Style24"/>
        <w:rPr/>
      </w:pPr>
      <w:r>
        <w:rPr/>
        <w:t>несоответствие предлагаемой продукции требованиям Документации о закупке, с учетом представленных во второй части заявки соответствующих подтверждающих документов;</w:t>
      </w:r>
    </w:p>
    <w:p>
      <w:pPr>
        <w:pStyle w:val="Style24"/>
        <w:rPr/>
      </w:pPr>
      <w:r>
        <w:rPr/>
        <w:t>несоответствие Участников требованиям Документации о закупке;</w:t>
      </w:r>
    </w:p>
    <w:p>
      <w:pPr>
        <w:pStyle w:val="Style24"/>
        <w:rPr/>
      </w:pPr>
      <w:r>
        <w:rPr/>
        <w:t>несоответствие привлекаемых субподрядчиков (соисполнителей) требованиям Документации о закупке;</w:t>
      </w:r>
    </w:p>
    <w:p>
      <w:pPr>
        <w:pStyle w:val="Style24"/>
        <w:rPr/>
      </w:pPr>
      <w:r>
        <w:rPr/>
        <w:t>отсутствие поданного Участником ценового предложения в связи с тем, что он не принял участие в процедуре аукциона (не подал ни одного предложения по снижению стоимости заявки – ценовой ставки).</w:t>
      </w:r>
    </w:p>
    <w:p>
      <w:pPr>
        <w:pStyle w:val="Style23"/>
        <w:keepNext w:val="true"/>
        <w:rPr/>
      </w:pPr>
      <w:r>
        <w:rPr/>
        <w:t>Решение Закупочной комиссии по рассмотрению вторых частей заявок оформляется протоколом, в котором, как минимум, указываются</w:t>
      </w:r>
      <w:r>
        <w:rPr>
          <w:rStyle w:val="FootnoteReference"/>
        </w:rPr>
        <w:footnoteReference w:id="6"/>
      </w:r>
      <w:r>
        <w:rPr/>
        <w:t>:</w:t>
      </w:r>
    </w:p>
    <w:p>
      <w:pPr>
        <w:pStyle w:val="Style24"/>
        <w:rPr/>
      </w:pPr>
      <w:r>
        <w:rPr/>
        <w:t>дата подписания протокола;</w:t>
      </w:r>
    </w:p>
    <w:p>
      <w:pPr>
        <w:pStyle w:val="Style24"/>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4"/>
        <w:rPr/>
      </w:pPr>
      <w:r>
        <w:rPr/>
        <w:t>наименования Участников, заявки которых не были отклонены по результатам рассмотрения первых частей заявок, и (или) их идентификационные номера, присваиваемые Оператором ЭП, с указанием стоимости такой заявки (цены Договора), полученной по результатам процедуры аукциона;</w:t>
      </w:r>
    </w:p>
    <w:p>
      <w:pPr>
        <w:pStyle w:val="Style24"/>
        <w:keepNext w:val="true"/>
        <w:rPr/>
      </w:pPr>
      <w:r>
        <w:rPr/>
        <w:t>результаты рассмотрения вторых частей заявок с указанием, в том числе:</w:t>
      </w:r>
    </w:p>
    <w:p>
      <w:pPr>
        <w:pStyle w:val="Style25"/>
        <w:rPr/>
      </w:pPr>
      <w:r>
        <w:rPr/>
        <w:t>количества заявок, которые были отклонены по результатам рассмотрения вторых частей заявок;</w:t>
      </w:r>
    </w:p>
    <w:p>
      <w:pPr>
        <w:pStyle w:val="Style25"/>
        <w:rPr/>
      </w:pPr>
      <w:r>
        <w:rPr/>
        <w:t>оснований отклонения каждой заявки с указанием положений Документации о закупке, которым не соответствует вторая часть такой заявка;</w:t>
      </w:r>
    </w:p>
    <w:p>
      <w:pPr>
        <w:pStyle w:val="Style24"/>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4.19</w:t>
      </w:r>
      <w:r>
        <w:rPr/>
        <w:fldChar w:fldCharType="end"/>
      </w:r>
      <w:r>
        <w:rPr/>
        <w:t xml:space="preserve"> (в случае ее признания таковой).</w:t>
      </w:r>
    </w:p>
    <w:p>
      <w:pPr>
        <w:pStyle w:val="Style23"/>
        <w:rPr/>
      </w:pPr>
      <w:r>
        <w:rPr/>
        <w:t>Протокол рассмотрения вторых частей заявок направляется Организатором Оператору ЭП не позднее 3 (трех) календарных дней с даты подписания такого протокола, после чего он официально размещается (подраздел </w:t>
      </w:r>
      <w:r>
        <w:rPr/>
        <w:fldChar w:fldCharType="begin"/>
      </w:r>
      <w:r>
        <w:rPr/>
        <w:instrText xml:space="preserve"> REF _Ref130286532 \r \h </w:instrText>
      </w:r>
      <w:r>
        <w:rPr/>
        <w:fldChar w:fldCharType="separate"/>
      </w:r>
      <w:r>
        <w:rPr/>
        <w:t>4.2</w:t>
      </w:r>
      <w:r>
        <w:rPr/>
        <w:fldChar w:fldCharType="end"/>
      </w:r>
      <w:r>
        <w:rPr/>
        <w:t>) Оператором ЭП в течение 1 (одного) часа с момента его получения от Организатора.</w:t>
      </w:r>
    </w:p>
    <w:p>
      <w:pPr>
        <w:pStyle w:val="Style22"/>
        <w:rPr/>
      </w:pPr>
      <w:bookmarkStart w:id="163" w:name="_Ref149656136"/>
      <w:bookmarkStart w:id="164" w:name="_Toc228877221"/>
      <w:r>
        <w:rPr/>
        <w:t>Открытие доступа к ценовым предложениям</w:t>
      </w:r>
      <w:bookmarkEnd w:id="163"/>
      <w:bookmarkEnd w:id="164"/>
    </w:p>
    <w:p>
      <w:pPr>
        <w:pStyle w:val="Style23"/>
        <w:rPr/>
      </w:pPr>
      <w:r>
        <w:rPr/>
        <w:t>Оператор ЭП, после официального размещения протокола рассмотрения вторых частей заявок, направляет в адрес Организатора ценовые предложения, поданные Участниками в соответствии с пунктом </w:t>
      </w:r>
      <w:r>
        <w:rPr/>
        <w:fldChar w:fldCharType="begin"/>
      </w:r>
      <w:r>
        <w:rPr/>
        <w:instrText xml:space="preserve"> REF _Ref149645598 \r \h </w:instrText>
      </w:r>
      <w:r>
        <w:rPr/>
        <w:fldChar w:fldCharType="separate"/>
      </w:r>
      <w:r>
        <w:rPr/>
        <w:t>4.10.11</w:t>
      </w:r>
      <w:r>
        <w:rPr/>
        <w:fldChar w:fldCharType="end"/>
      </w:r>
      <w:r>
        <w:rPr/>
        <w:t>, с указанием информации о наименовании всех Участников, подавших ценовые предложения в рамках участия в процедуре аукциона.</w:t>
      </w:r>
    </w:p>
    <w:p>
      <w:pPr>
        <w:pStyle w:val="Style23"/>
        <w:rPr/>
      </w:pPr>
      <w:r>
        <w:rPr/>
        <w:t>Подробные правила открытия Организатору доступа ко ценовым предложениям определяются Регламентом ЭП, с использованием которой проводится закупка.</w:t>
      </w:r>
    </w:p>
    <w:p>
      <w:pPr>
        <w:pStyle w:val="Style22"/>
        <w:rPr/>
      </w:pPr>
      <w:bookmarkStart w:id="165" w:name="_Ref149656148"/>
      <w:bookmarkStart w:id="166" w:name="_Toc228877222"/>
      <w:r>
        <w:rPr/>
        <w:t>Рассмотрение ценовых предложений (отборочная стадия)</w:t>
      </w:r>
      <w:bookmarkEnd w:id="165"/>
      <w:bookmarkEnd w:id="166"/>
    </w:p>
    <w:p>
      <w:pPr>
        <w:pStyle w:val="Style23"/>
        <w:rPr/>
      </w:pPr>
      <w:r>
        <w:rPr/>
        <w:t xml:space="preserve">В рамках рассмотрения ценовых предложений (отборочной стадии) осуществляется проверка заявок Участников, принявших участие в процедуре аукциона, на предмет соответствия </w:t>
      </w:r>
      <w:hyperlink w:anchor="Прил07_ОтборочныеКритерии">
        <w:r>
          <w:rPr>
            <w:rStyle w:val="Style11"/>
          </w:rPr>
          <w:t>Отборочным критериям рассмотрения заявок (Приложение № 7)</w:t>
        </w:r>
      </w:hyperlink>
      <w:r>
        <w:rPr/>
        <w:t>.</w:t>
      </w:r>
    </w:p>
    <w:p>
      <w:pPr>
        <w:pStyle w:val="Style23"/>
        <w:keepNext w:val="true"/>
        <w:rPr/>
      </w:pPr>
      <w:bookmarkStart w:id="167" w:name="_Ref224835330"/>
      <w:r>
        <w:rPr/>
        <w:t>При выявлении в рамках рассмотрения ценовых предложений наличия арифметических ошибок, в том числе:</w:t>
      </w:r>
      <w:bookmarkEnd w:id="167"/>
    </w:p>
    <w:p>
      <w:pPr>
        <w:pStyle w:val="Style24"/>
        <w:rPr/>
      </w:pPr>
      <w:r>
        <w:rPr/>
        <w:t>в результате суммирования единичных расценок;</w:t>
      </w:r>
    </w:p>
    <w:p>
      <w:pPr>
        <w:pStyle w:val="Style24"/>
        <w:rPr/>
      </w:pPr>
      <w:r>
        <w:rPr/>
        <w:t>в итогах умножения единичных расценок на объем продукции;</w:t>
      </w:r>
    </w:p>
    <w:p>
      <w:pPr>
        <w:pStyle w:val="Style24"/>
        <w:rPr/>
      </w:pPr>
      <w:r>
        <w:rPr/>
        <w:t>в вычислении суммы НДС и итоговой стоимости заявки с учетом НДС;</w:t>
      </w:r>
    </w:p>
    <w:p>
      <w:pPr>
        <w:pStyle w:val="Style24"/>
        <w:rPr/>
      </w:pPr>
      <w:r>
        <w:rPr/>
        <w:t>иных внутренних противоречий в составе заявки,</w:t>
      </w:r>
    </w:p>
    <w:p>
      <w:pPr>
        <w:pStyle w:val="Style27"/>
        <w:ind w:left="1134" w:hanging="0"/>
        <w:rPr/>
      </w:pPr>
      <w:r>
        <w:rPr/>
        <w:t>Организатор исходит из преимущества общей итоговой стоимости (без учета НДС), указанной в структурированных формах на ЭП и подписанной усиленной квалифицированной электронной подписью уполномоченного лица Участника. При уклонении Участника от заключения договора на вышеуказанных условиях заявка такого Участника подлежит отклонению решением Закупочной комиссии.</w:t>
      </w:r>
    </w:p>
    <w:p>
      <w:pPr>
        <w:pStyle w:val="Style23"/>
        <w:keepNext w:val="true"/>
        <w:rPr/>
      </w:pPr>
      <w:bookmarkStart w:id="168" w:name="_Ref224835414"/>
      <w:r>
        <w:rPr/>
        <w:t>По результатам рассмотрения ценовых предложений (проведения отборочной стадии) Закупочная комиссия отклоняет заявки по следующим основаниям:</w:t>
      </w:r>
      <w:bookmarkEnd w:id="168"/>
    </w:p>
    <w:p>
      <w:pPr>
        <w:pStyle w:val="Style24"/>
        <w:keepNext w:val="true"/>
        <w:rPr/>
      </w:pPr>
      <w:r>
        <w:rPr/>
        <w:t>несоответствие ценового предложения Участника по составу, содержанию и соблюдению требований Документации о закупке, в том числе наличие:</w:t>
      </w:r>
    </w:p>
    <w:p>
      <w:pPr>
        <w:pStyle w:val="Style25"/>
        <w:rPr/>
      </w:pPr>
      <w:r>
        <w:rPr/>
        <w:t>недостоверных сведений или намеренно искаженной информации или документов;</w:t>
      </w:r>
    </w:p>
    <w:p>
      <w:pPr>
        <w:pStyle w:val="Style25"/>
        <w:rPr/>
      </w:pPr>
      <w:r>
        <w:rPr/>
        <w:t xml:space="preserve">внутренних противоречий между различными частями и (или) документами заявки, в том числе по тексту внутри одного документа (за исключением ошибок, предусмотренных пунктом </w:t>
      </w:r>
      <w:r>
        <w:rPr/>
        <w:fldChar w:fldCharType="begin"/>
      </w:r>
      <w:r>
        <w:rPr/>
        <w:instrText xml:space="preserve"> REF _Ref224835330 \r \h </w:instrText>
      </w:r>
      <w:r>
        <w:rPr/>
        <w:fldChar w:fldCharType="separate"/>
      </w:r>
      <w:r>
        <w:rPr/>
        <w:t>4.14.2</w:t>
      </w:r>
      <w:r>
        <w:rPr/>
        <w:fldChar w:fldCharType="end"/>
      </w:r>
      <w:r>
        <w:rPr/>
        <w:t>);</w:t>
      </w:r>
    </w:p>
    <w:p>
      <w:pPr>
        <w:pStyle w:val="Style24"/>
        <w:rPr/>
      </w:pPr>
      <w:bookmarkStart w:id="169" w:name="_Hlk209699544"/>
      <w:r>
        <w:rPr/>
        <w:t>несоответствие ценового предложения Участника (которое могло быть выявлено только на данном этапе закупки) законодательству о национальном режиме (подраздел </w:t>
      </w:r>
      <w:r>
        <w:rPr/>
        <w:fldChar w:fldCharType="begin"/>
      </w:r>
      <w:r>
        <w:rPr/>
        <w:instrText xml:space="preserve"> REF _Ref186183588 \r \h </w:instrText>
      </w:r>
      <w:r>
        <w:rPr/>
        <w:fldChar w:fldCharType="separate"/>
      </w:r>
      <w:r>
        <w:rPr/>
        <w:t>4.17</w:t>
      </w:r>
      <w:r>
        <w:rPr/>
        <w:fldChar w:fldCharType="end"/>
      </w:r>
      <w:r>
        <w:rPr/>
        <w:t>).</w:t>
      </w:r>
      <w:bookmarkEnd w:id="169"/>
    </w:p>
    <w:p>
      <w:pPr>
        <w:pStyle w:val="Style23"/>
        <w:rPr/>
      </w:pPr>
      <w:r>
        <w:rPr/>
        <w:t>Решение Закупочной комиссии по рассмотрению ценовых предложений Участников вносится в итоговый протокол по результатам закупки.</w:t>
      </w:r>
    </w:p>
    <w:p>
      <w:pPr>
        <w:pStyle w:val="Style22"/>
        <w:rPr/>
      </w:pPr>
      <w:bookmarkStart w:id="170" w:name="_Ref125362381"/>
      <w:bookmarkStart w:id="171" w:name="_Ref125362425"/>
      <w:bookmarkStart w:id="172" w:name="_Ref125362464"/>
      <w:bookmarkStart w:id="173" w:name="_Ref125362610"/>
      <w:bookmarkStart w:id="174" w:name="_Toc228877223"/>
      <w:r>
        <w:rPr/>
        <w:t>Дополнительные запросы разъяснений заявок</w:t>
      </w:r>
      <w:bookmarkEnd w:id="170"/>
      <w:bookmarkEnd w:id="171"/>
      <w:bookmarkEnd w:id="172"/>
      <w:bookmarkEnd w:id="173"/>
      <w:bookmarkEnd w:id="174"/>
    </w:p>
    <w:p>
      <w:pPr>
        <w:pStyle w:val="Style23"/>
        <w:rPr/>
      </w:pPr>
      <w:bookmarkStart w:id="175" w:name="_Ref125365611"/>
      <w:r>
        <w:rPr/>
        <w:t>В рамках процедуры рассмотрения заявок (первых частей заявок, вторых частей заявок и ценовых предложений) Организатор вправе направить в адрес Участника дополнительный запрос разъяснений и (или) дополнений его заявки, влияющих на отклонение или оценку и сопоставление его заявки, в следующих случаях:</w:t>
      </w:r>
      <w:bookmarkEnd w:id="175"/>
    </w:p>
    <w:p>
      <w:pPr>
        <w:pStyle w:val="Style24"/>
        <w:keepNext w:val="true"/>
        <w:rPr/>
      </w:pPr>
      <w:r>
        <w:rPr/>
        <w:t>в составе заявки (в какой-либо ее части) отсутствуют, представлены не в полном объеме или в нечитаемом виде документы или сведения, необходимые для определения:</w:t>
      </w:r>
    </w:p>
    <w:p>
      <w:pPr>
        <w:pStyle w:val="Style25"/>
        <w:rPr/>
      </w:pPr>
      <w:r>
        <w:rPr/>
        <w:t>соответствия Участника требованиям Документации о закупке;</w:t>
      </w:r>
    </w:p>
    <w:p>
      <w:pPr>
        <w:pStyle w:val="Style25"/>
        <w:rPr/>
      </w:pPr>
      <w:bookmarkStart w:id="176" w:name="_Hlk132793683"/>
      <w:r>
        <w:rPr/>
        <w:t>наличия соответствующих полномочий на подписание заявки от имени Участника у лица, подписавшего заявку</w:t>
      </w:r>
      <w:bookmarkEnd w:id="176"/>
      <w:r>
        <w:rPr/>
        <w:t>;</w:t>
      </w:r>
    </w:p>
    <w:p>
      <w:pPr>
        <w:pStyle w:val="Style25"/>
        <w:rPr/>
      </w:pPr>
      <w:r>
        <w:rPr/>
        <w:t>соответствия заявки требованиям Документации о закупке в части характеристик предлагаемой продукции, страны происхождения товара и (или) страны регистрации Участника (в целях исполнения требований законодательства о национальном режиме (подраздел </w:t>
      </w:r>
      <w:r>
        <w:rPr/>
        <w:fldChar w:fldCharType="begin"/>
      </w:r>
      <w:r>
        <w:rPr/>
        <w:instrText xml:space="preserve"> REF _Ref186183588 \r \h </w:instrText>
      </w:r>
      <w:r>
        <w:rPr/>
        <w:fldChar w:fldCharType="separate"/>
      </w:r>
      <w:r>
        <w:rPr/>
        <w:t>4.17</w:t>
      </w:r>
      <w:r>
        <w:rPr/>
        <w:fldChar w:fldCharType="end"/>
      </w:r>
      <w:r>
        <w:rPr/>
        <w:t>)), и договорных условий, расчета цены Договора;</w:t>
      </w:r>
    </w:p>
    <w:p>
      <w:pPr>
        <w:pStyle w:val="Style24"/>
        <w:rPr/>
      </w:pPr>
      <w:bookmarkStart w:id="177" w:name="_Ref135033677"/>
      <w:r>
        <w:rPr/>
        <w:t>в составе заявки (в какой-либо ее части)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вторых частей заявок процедуры аккредитации (при необходимости);</w:t>
      </w:r>
    </w:p>
    <w:p>
      <w:pPr>
        <w:pStyle w:val="Style24"/>
        <w:rPr/>
      </w:pPr>
      <w:r>
        <w:rPr/>
        <w:t>в заявке (в какой-либо ее части) имеются разночтения или положения, допускающие неоднозначное толкование, не позволяющие определить соответствие заявки или Участника (в том числе не позволяющие провести в отношении него процедуру аккредитации (при необходимости)</w:t>
      </w:r>
      <w:r>
        <w:rPr>
          <w:rStyle w:val="FootnoteReference"/>
        </w:rPr>
        <w:footnoteReference w:id="7"/>
      </w:r>
      <w:r>
        <w:rPr/>
        <w:t>) требованиям Документации о закупке или осуществить оценку и сопоставление заявок.</w:t>
      </w:r>
      <w:bookmarkEnd w:id="177"/>
    </w:p>
    <w:p>
      <w:pPr>
        <w:pStyle w:val="Style23"/>
        <w:rPr/>
      </w:pPr>
      <w:r>
        <w:rPr/>
        <w:t>Если в рамках рассмотрения заявок (вторых частей заявок), проводится процедура аккредитации, Организатор вправе направить в адрес Участника дополнительный запрос разъяснений и (или) дополнений его заявки, влияющих на прохождение аккредитации таким Участником (в том числе в случае, указанном в подпункте </w:t>
      </w:r>
      <w:r>
        <w:rPr/>
        <w:fldChar w:fldCharType="begin"/>
      </w:r>
      <w:r>
        <w:rPr/>
        <w:instrText xml:space="preserve"> REF _Ref135033677 \r \h </w:instrText>
      </w:r>
      <w:r>
        <w:rPr/>
        <w:fldChar w:fldCharType="separate"/>
      </w:r>
      <w:r>
        <w:rPr/>
        <w:t>4.15.1б)</w:t>
      </w:r>
      <w:r>
        <w:rPr/>
        <w:fldChar w:fldCharType="end"/>
      </w:r>
      <w:r>
        <w:rPr/>
        <w:t>).</w:t>
      </w:r>
    </w:p>
    <w:p>
      <w:pPr>
        <w:pStyle w:val="Style23"/>
        <w:rPr/>
      </w:pPr>
      <w:r>
        <w:rPr/>
        <w:t>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p>
    <w:p>
      <w:pPr>
        <w:pStyle w:val="Style23"/>
        <w:rPr/>
      </w:pPr>
      <w:r>
        <w:rPr/>
        <w:t>При направлении дополнительных запросов разъяснений заявок не допускается создание преимущественных условий Участнику или нескольким Участникам закупки.</w:t>
      </w:r>
    </w:p>
    <w:p>
      <w:pPr>
        <w:pStyle w:val="Style23"/>
        <w:rPr/>
      </w:pPr>
      <w:r>
        <w:rPr/>
        <w:t>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направляются Участнику если в соответствии с пунктами </w:t>
      </w:r>
      <w:r>
        <w:rPr/>
        <w:fldChar w:fldCharType="begin"/>
      </w:r>
      <w:r>
        <w:rPr/>
        <w:instrText xml:space="preserve"> REF _Ref125551456 \r \h </w:instrText>
      </w:r>
      <w:r>
        <w:rPr/>
        <w:fldChar w:fldCharType="separate"/>
      </w:r>
      <w:r>
        <w:rPr/>
        <w:t>4.9.4</w:t>
      </w:r>
      <w:r>
        <w:rPr/>
        <w:fldChar w:fldCharType="end"/>
      </w:r>
      <w:r>
        <w:rPr/>
        <w:t xml:space="preserve">, </w:t>
      </w:r>
      <w:r>
        <w:rPr/>
        <w:fldChar w:fldCharType="begin"/>
      </w:r>
      <w:r>
        <w:rPr/>
        <w:instrText xml:space="preserve"> REF _Ref132793926 \r \h </w:instrText>
      </w:r>
      <w:r>
        <w:rPr/>
        <w:fldChar w:fldCharType="separate"/>
      </w:r>
      <w:r>
        <w:rPr/>
        <w:t>4.12.4</w:t>
      </w:r>
      <w:r>
        <w:rPr/>
        <w:fldChar w:fldCharType="end"/>
      </w:r>
      <w:r>
        <w:rPr/>
        <w:t xml:space="preserve"> имеются прямые основания для отклонения заявки такого Участника, не относящиеся к случаям, перечисленным в пункте </w:t>
      </w:r>
      <w:r>
        <w:rPr/>
        <w:fldChar w:fldCharType="begin"/>
      </w:r>
      <w:r>
        <w:rPr/>
        <w:instrText xml:space="preserve"> REF _Ref125365611 \w \h </w:instrText>
      </w:r>
      <w:r>
        <w:rPr/>
        <w:fldChar w:fldCharType="separate"/>
      </w:r>
      <w:r>
        <w:rPr/>
        <w:t>4.15.1</w:t>
      </w:r>
      <w:r>
        <w:rPr/>
        <w:fldChar w:fldCharType="end"/>
      </w:r>
      <w:r>
        <w:rPr/>
        <w:t>.</w:t>
      </w:r>
    </w:p>
    <w:p>
      <w:pPr>
        <w:pStyle w:val="Style23"/>
        <w:rPr/>
      </w:pPr>
      <w:r>
        <w:rPr/>
        <w:t>Срок предоставления Участниками разъяснений своих заявок устанавливается одинаковый для всех и составляет не менее 2 (двух) рабочих дней с момента направления запроса в адрес Участника.</w:t>
      </w:r>
    </w:p>
    <w:p>
      <w:pPr>
        <w:pStyle w:val="Style23"/>
        <w:rPr/>
      </w:pPr>
      <w:r>
        <w:rPr/>
        <w:t>Направление Организатором дополнительных запросов и ответов Участников на данные запросы осуществляется с помощью программных и технических средств ЭП в порядке, предусмотренном Регламентом ЭП (ответы Участников, поступившие не через ЭП, к рассмотрению не принимаются).</w:t>
      </w:r>
    </w:p>
    <w:p>
      <w:pPr>
        <w:pStyle w:val="Style23"/>
        <w:rPr/>
      </w:pPr>
      <w:r>
        <w:rPr/>
        <w:t>Непредставление или представление не в полном объеме запрашиваемых документов и (или) разъяснений в установленный в запросе срок служит основанием для отклонения заявки такого Участника по условиям пунктов </w:t>
      </w:r>
      <w:r>
        <w:rPr/>
        <w:fldChar w:fldCharType="begin"/>
      </w:r>
      <w:r>
        <w:rPr/>
        <w:instrText xml:space="preserve"> REF _Ref125551456 \r \h </w:instrText>
      </w:r>
      <w:r>
        <w:rPr/>
        <w:fldChar w:fldCharType="separate"/>
      </w:r>
      <w:r>
        <w:rPr/>
        <w:t>4.9.4</w:t>
      </w:r>
      <w:r>
        <w:rPr/>
        <w:fldChar w:fldCharType="end"/>
      </w:r>
      <w:r>
        <w:rPr/>
        <w:t xml:space="preserve">, </w:t>
      </w:r>
      <w:r>
        <w:rPr/>
        <w:fldChar w:fldCharType="begin"/>
      </w:r>
      <w:r>
        <w:rPr/>
        <w:instrText xml:space="preserve"> REF _Ref132793926 \r \h </w:instrText>
      </w:r>
      <w:r>
        <w:rPr/>
        <w:fldChar w:fldCharType="separate"/>
      </w:r>
      <w:r>
        <w:rPr/>
        <w:t>4.12.4</w:t>
      </w:r>
      <w:r>
        <w:rPr/>
        <w:fldChar w:fldCharType="end"/>
      </w:r>
      <w:r>
        <w:rPr/>
        <w:t>.</w:t>
      </w:r>
    </w:p>
    <w:p>
      <w:pPr>
        <w:pStyle w:val="Style22"/>
        <w:rPr/>
      </w:pPr>
      <w:bookmarkStart w:id="178" w:name="_Ref125362626"/>
      <w:bookmarkStart w:id="179" w:name="_Ref125365335"/>
      <w:bookmarkStart w:id="180" w:name="_Ref125365519"/>
      <w:bookmarkStart w:id="181" w:name="_Ref125366534"/>
      <w:bookmarkStart w:id="182" w:name="_Ref125369041"/>
      <w:bookmarkStart w:id="183" w:name="_Ref125369308"/>
      <w:bookmarkStart w:id="184" w:name="_Toc228877224"/>
      <w:r>
        <w:rPr/>
        <w:t>Оценка и сопоставление заявок</w:t>
      </w:r>
      <w:bookmarkEnd w:id="178"/>
      <w:bookmarkEnd w:id="179"/>
      <w:bookmarkEnd w:id="180"/>
      <w:bookmarkEnd w:id="181"/>
      <w:bookmarkEnd w:id="182"/>
      <w:bookmarkEnd w:id="183"/>
      <w:bookmarkEnd w:id="184"/>
    </w:p>
    <w:p>
      <w:pPr>
        <w:pStyle w:val="Style23"/>
        <w:rPr/>
      </w:pPr>
      <w:r>
        <w:rPr/>
        <w:t xml:space="preserve">Оценка, признанных Закупочной комиссией соответствующими по результатам рассмотрения заявок (первых частей заявок, вторых частей заявок и ценовых предложений) осуществляется в соответствии с </w:t>
      </w:r>
      <w:hyperlink w:anchor="Прил08_ПорядокОценки">
        <w:r>
          <w:rPr>
            <w:rStyle w:val="Style11"/>
          </w:rPr>
          <w:t>Порядком и критериями оценки и сопоставления заявок (Приложение № 8)</w:t>
        </w:r>
      </w:hyperlink>
      <w:r>
        <w:rPr/>
        <w:t>, то есть:</w:t>
      </w:r>
    </w:p>
    <w:p>
      <w:pPr>
        <w:pStyle w:val="Style24"/>
        <w:rPr/>
      </w:pPr>
      <w:r>
        <w:rPr/>
        <w:t>в соответствии с единственным ценовым критерием оценки (критерием выбора Победителя) – стоимость заявки (цена Договора);</w:t>
      </w:r>
    </w:p>
    <w:p>
      <w:pPr>
        <w:pStyle w:val="Style24"/>
        <w:rPr/>
      </w:pPr>
      <w:r>
        <w:rPr/>
        <w:t>в едином базисе без учета НДС.</w:t>
      </w:r>
    </w:p>
    <w:p>
      <w:pPr>
        <w:pStyle w:val="Style23"/>
        <w:rPr/>
      </w:pPr>
      <w:r>
        <w:rPr/>
        <w:t>Оценка и сопоставление заявок, а также их ранжировка, осуществляется с учетом применения законодательства о национальном режиме, в т.ч. ПП 1875 (подраздел </w:t>
      </w:r>
      <w:r>
        <w:rPr/>
        <w:fldChar w:fldCharType="begin"/>
      </w:r>
      <w:r>
        <w:rPr/>
        <w:instrText xml:space="preserve"> REF _Ref149648944 \r \h </w:instrText>
      </w:r>
      <w:r>
        <w:rPr/>
        <w:fldChar w:fldCharType="separate"/>
      </w:r>
      <w:r>
        <w:rPr/>
        <w:t>4.17</w:t>
      </w:r>
      <w:r>
        <w:rPr/>
        <w:fldChar w:fldCharType="end"/>
      </w:r>
      <w:r>
        <w:rPr/>
        <w:t>).</w:t>
      </w:r>
    </w:p>
    <w:p>
      <w:pPr>
        <w:pStyle w:val="Style23"/>
        <w:rPr/>
      </w:pPr>
      <w:r>
        <w:rPr/>
        <w:t>По результатам оценки заявок Закупочная комиссия в течение 1 (одного) рабочего дня осуществляет их сопоставление – ранжирует все соответствующие по результатам рассмотрения заявки по мере повышения их стоимости (цены Договора). При этом первое место в ранжировке присваивается заявке с наименьшей стоимостью заявки</w:t>
      </w:r>
      <w:r>
        <w:rPr>
          <w:rStyle w:val="FootnoteReference"/>
        </w:rPr>
        <w:footnoteReference w:id="8"/>
      </w:r>
      <w:r>
        <w:rPr/>
        <w:t>.</w:t>
      </w:r>
      <w:bookmarkStart w:id="185" w:name="_Ref125366064"/>
      <w:bookmarkStart w:id="186" w:name="_Ref125369991"/>
      <w:bookmarkStart w:id="187" w:name="_Ref125370507"/>
      <w:bookmarkStart w:id="188" w:name="_Ref130458671"/>
    </w:p>
    <w:p>
      <w:pPr>
        <w:pStyle w:val="Style23"/>
        <w:rPr/>
      </w:pPr>
      <w:bookmarkStart w:id="189" w:name="_Ref130985951"/>
      <w:bookmarkEnd w:id="189"/>
      <w:r>
        <w:rPr/>
        <w:t>Результаты оценки и сопоставления заявок указываются в итоговом протоколе по результатам закупки.</w:t>
      </w:r>
    </w:p>
    <w:p>
      <w:pPr>
        <w:pStyle w:val="Style22"/>
        <w:rPr/>
      </w:pPr>
      <w:bookmarkStart w:id="190" w:name="_Ref125362643"/>
      <w:bookmarkStart w:id="191" w:name="_Ref125366074"/>
      <w:bookmarkStart w:id="192" w:name="_Ref125370800"/>
      <w:bookmarkStart w:id="193" w:name="_Ref125640994"/>
      <w:bookmarkStart w:id="194" w:name="_Ref125641102"/>
      <w:bookmarkStart w:id="195" w:name="_Ref186183588"/>
      <w:bookmarkStart w:id="196" w:name="_Ref149648944"/>
      <w:bookmarkStart w:id="197" w:name="_Toc228877225"/>
      <w:bookmarkStart w:id="198" w:name="_Ref132816300"/>
      <w:bookmarkEnd w:id="198"/>
      <w:r>
        <w:rPr/>
        <w:t>Применение законодательства о национальном режиме</w:t>
      </w:r>
      <w:bookmarkEnd w:id="195"/>
      <w:bookmarkEnd w:id="196"/>
      <w:bookmarkEnd w:id="197"/>
    </w:p>
    <w:p>
      <w:pPr>
        <w:pStyle w:val="Style23"/>
        <w:rPr/>
      </w:pPr>
      <w:r>
        <w:rPr/>
        <w:t>Настоящий подраздел применяется исходя из информации, установленной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3"/>
        <w:rPr/>
      </w:pPr>
      <w:bookmarkStart w:id="199" w:name="_Ref195007394"/>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запрета закупки иностранной продукции, то не допускается заключение Договора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(подразделы </w:t>
      </w:r>
      <w:r>
        <w:rPr/>
        <w:fldChar w:fldCharType="begin"/>
      </w:r>
      <w:r>
        <w:rPr/>
        <w:instrText xml:space="preserve"> REF _Ref132797154 \r \h </w:instrText>
      </w:r>
      <w:r>
        <w:rPr/>
        <w:fldChar w:fldCharType="separate"/>
      </w:r>
      <w:r>
        <w:rPr/>
        <w:t>4.12</w:t>
      </w:r>
      <w:r>
        <w:rPr/>
        <w:fldChar w:fldCharType="end"/>
      </w:r>
      <w:r>
        <w:rPr/>
        <w:t xml:space="preserve">, </w:t>
      </w:r>
      <w:r>
        <w:rPr/>
        <w:fldChar w:fldCharType="begin"/>
      </w:r>
      <w:r>
        <w:rPr/>
        <w:instrText xml:space="preserve"> REF _Ref149656148 \r \h </w:instrText>
      </w:r>
      <w:r>
        <w:rPr/>
        <w:fldChar w:fldCharType="separate"/>
      </w:r>
      <w:r>
        <w:rPr/>
        <w:t>4.14</w:t>
      </w:r>
      <w:r>
        <w:rPr/>
        <w:fldChar w:fldCharType="end"/>
      </w:r>
      <w:r>
        <w:rPr/>
        <w:t>).</w:t>
      </w:r>
      <w:bookmarkEnd w:id="199"/>
    </w:p>
    <w:p>
      <w:pPr>
        <w:pStyle w:val="Style23"/>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ограничения закупки иностранной продукции, то не допускается заключение Договора на поставку такой продукции, если была подана и по результатам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(подразделы </w:t>
      </w:r>
      <w:r>
        <w:rPr/>
        <w:fldChar w:fldCharType="begin"/>
      </w:r>
      <w:r>
        <w:rPr/>
        <w:instrText xml:space="preserve"> REF _Ref132797154 \r \h </w:instrText>
      </w:r>
      <w:r>
        <w:rPr/>
        <w:fldChar w:fldCharType="separate"/>
      </w:r>
      <w:r>
        <w:rPr/>
        <w:t>4.12</w:t>
      </w:r>
      <w:r>
        <w:rPr/>
        <w:fldChar w:fldCharType="end"/>
      </w:r>
      <w:r>
        <w:rPr/>
        <w:t xml:space="preserve">, </w:t>
      </w:r>
      <w:r>
        <w:rPr/>
        <w:fldChar w:fldCharType="begin"/>
      </w:r>
      <w:r>
        <w:rPr/>
        <w:instrText xml:space="preserve"> REF _Ref149656148 \r \h </w:instrText>
      </w:r>
      <w:r>
        <w:rPr/>
        <w:fldChar w:fldCharType="separate"/>
      </w:r>
      <w:r>
        <w:rPr/>
        <w:t>4.14</w:t>
      </w:r>
      <w:r>
        <w:rPr/>
        <w:fldChar w:fldCharType="end"/>
      </w:r>
      <w:r>
        <w:rPr/>
        <w:t>).</w:t>
      </w:r>
    </w:p>
    <w:p>
      <w:pPr>
        <w:pStyle w:val="Style23"/>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преимущества российской продукции, то при оценке и сопоставлении заявок, а также их ранжировке (подраздел </w:t>
      </w:r>
      <w:r>
        <w:rPr/>
        <w:fldChar w:fldCharType="begin"/>
      </w:r>
      <w:r>
        <w:rPr/>
        <w:instrText xml:space="preserve"> REF _Ref125362626 \r \h </w:instrText>
      </w:r>
      <w:r>
        <w:rPr/>
        <w:fldChar w:fldCharType="separate"/>
      </w:r>
      <w:r>
        <w:rPr/>
        <w:t>4.16</w:t>
      </w:r>
      <w:r>
        <w:rPr/>
        <w:fldChar w:fldCharType="end"/>
      </w:r>
      <w:r>
        <w:rPr/>
        <w:t>), осуществляется снижение</w:t>
      </w:r>
      <w:r>
        <w:rPr>
          <w:rStyle w:val="FootnoteReference"/>
        </w:rPr>
        <w:footnoteReference w:id="9"/>
      </w:r>
      <w:r>
        <w:rPr/>
        <w:t xml:space="preserve"> на 15% (пятнадцать процентов) итоговой стоимости </w:t>
      </w:r>
      <w:bookmarkStart w:id="200" w:name="_Hlk207810557"/>
      <w:r>
        <w:rPr/>
        <w:t>(цены Договора) поданной и допущенной заявки с российской продукцией (на поставку товара российского происхождения (в том числе поставляемых при выполнении закупаемых работ, оказании закупаемых услуг)), при условии наличия допущенной заявки с иностранной продукцией (на поставку товара иностранного происхождения)</w:t>
      </w:r>
      <w:bookmarkEnd w:id="200"/>
      <w:r>
        <w:rPr/>
        <w:t>.</w:t>
      </w:r>
    </w:p>
    <w:p>
      <w:pPr>
        <w:pStyle w:val="Style23"/>
        <w:rPr/>
      </w:pPr>
      <w:bookmarkStart w:id="201" w:name="_Ref195007400"/>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Заказчик исполняет нормы в части минимальной обязательной доли закупок товаров российского происхождения, то не допускается заключение Договора на поставку товара иностранного происхождения, – соответствующая заявка отклоняется при рассмотрении заявок (подразделы </w:t>
      </w:r>
      <w:r>
        <w:rPr/>
        <w:fldChar w:fldCharType="begin"/>
      </w:r>
      <w:r>
        <w:rPr/>
        <w:instrText xml:space="preserve"> REF _Ref149656148 \r \h </w:instrText>
      </w:r>
      <w:r>
        <w:rPr/>
        <w:fldChar w:fldCharType="separate"/>
      </w:r>
      <w:r>
        <w:rPr/>
        <w:t>4.14</w:t>
      </w:r>
      <w:r>
        <w:rPr/>
        <w:fldChar w:fldCharType="end"/>
      </w:r>
      <w:r>
        <w:rPr/>
        <w:t>).</w:t>
      </w:r>
      <w:bookmarkEnd w:id="201"/>
    </w:p>
    <w:p>
      <w:pPr>
        <w:pStyle w:val="Style23"/>
        <w:rPr/>
      </w:pPr>
      <w:r>
        <w:rPr/>
        <w:t>Состав и требования к сведениям и (или) и перечню документов (их предоставлению Участником), которые подтверждают страну происхождения товара (страны ЕАЭС, включая Россию), в целях выполнения требований законодательства о национальном режиме (пункты </w:t>
      </w:r>
      <w:r>
        <w:rPr/>
        <w:fldChar w:fldCharType="begin"/>
      </w:r>
      <w:r>
        <w:rPr/>
        <w:instrText xml:space="preserve"> REF _Ref195007394 \r \h </w:instrText>
      </w:r>
      <w:r>
        <w:rPr/>
        <w:fldChar w:fldCharType="separate"/>
      </w:r>
      <w:r>
        <w:rPr/>
        <w:t>4.17.2</w:t>
      </w:r>
      <w:r>
        <w:rPr/>
        <w:fldChar w:fldCharType="end"/>
      </w:r>
      <w:r>
        <w:rPr/>
        <w:t> – </w:t>
      </w:r>
      <w:r>
        <w:rPr/>
        <w:fldChar w:fldCharType="begin"/>
      </w:r>
      <w:r>
        <w:rPr/>
        <w:instrText xml:space="preserve"> REF _Ref195007400 \r \h </w:instrText>
      </w:r>
      <w:r>
        <w:rPr/>
        <w:fldChar w:fldCharType="separate"/>
      </w:r>
      <w:r>
        <w:rPr/>
        <w:t>4.17.5</w:t>
      </w:r>
      <w:r>
        <w:rPr/>
        <w:fldChar w:fldCharType="end"/>
      </w:r>
      <w:r>
        <w:rPr/>
        <w:t>), установлены в Структуре НМЦ (в составе Коммерческого предложения (форма 3) (</w:t>
      </w:r>
      <w:hyperlink w:anchor="Прил04_ФормыЗаявки">
        <w:r>
          <w:rPr>
            <w:rStyle w:val="Style11"/>
          </w:rPr>
          <w:t>Приложение № 4</w:t>
        </w:r>
      </w:hyperlink>
      <w:r>
        <w:rPr/>
        <w:t>), а также в Технических требованиях (</w:t>
      </w:r>
      <w:hyperlink w:anchor="Прил01_ТехТребования">
        <w:r>
          <w:rPr>
            <w:rStyle w:val="Style11"/>
          </w:rPr>
          <w:t>Приложение № 1</w:t>
        </w:r>
      </w:hyperlink>
      <w:r>
        <w:rPr/>
        <w:t>) при исполнении Заказчиком норм в части минимальной обязательной доли закупок товаров российского происхождения.</w:t>
      </w:r>
    </w:p>
    <w:p>
      <w:pPr>
        <w:pStyle w:val="Style23"/>
        <w:keepNext w:val="true"/>
        <w:rPr/>
      </w:pPr>
      <w:r>
        <w:rPr/>
        <w:t>Товар приравнивается к товарам, происходящим из иностранного государства (не являющегося государством – членом ЕАЭС), если:</w:t>
      </w:r>
    </w:p>
    <w:p>
      <w:pPr>
        <w:pStyle w:val="Style24"/>
        <w:rPr/>
      </w:pPr>
      <w:r>
        <w:rPr/>
        <w:t>в отношении такого товара Участником не предоставлены в составе заявки требуемые Документацией о закупке подтверждающие сведения и (или) документы;</w:t>
      </w:r>
    </w:p>
    <w:p>
      <w:pPr>
        <w:pStyle w:val="Style24"/>
        <w:rPr/>
      </w:pPr>
      <w:r>
        <w:rPr/>
        <w:t>в соответствии с реестровой записью из реестра российской промышленной продукции количество указанных баллов за выполнение (освоение) на территории Российской Федерации соответствующих операций (условий) составляет меньшее значение по отношению к количеству баллов, определенных ПП 719 (в случае, если для такого товара ПП 719 установлены требования о совокупном количестве баллов).</w:t>
      </w:r>
    </w:p>
    <w:p>
      <w:pPr>
        <w:pStyle w:val="Style23"/>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запрета закупки иностранной продукции (в отношении позиции № 146 приложения № 1 к ПП 1875), то заявка, содержащая предложение о поставке российского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 в соответствии с ПП 325, приравнивается к заявке, содержащей предложение о поставке программного обеспечения, происходящего из иностранного государства (не являющегося государством – членом ЕАЭС), если на участие в закупке подана заявка (соответствующая установленным Документацией о закупке требованиям), содержащая предложение о поставке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 в соответствии с ПП 325.</w:t>
      </w:r>
    </w:p>
    <w:p>
      <w:pPr>
        <w:pStyle w:val="Style23"/>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ограничения закупки иностранной продукции (в отношении позиций №№ 195, 197 – 199, 203 приложения № 2 к ПП 1875), то заявка, содержащая предложение о поставке российской радиоэлектронной продукции, но не являющейся в соответствии с ПП 719 радиоэлектронной продукцией первого уровня, приравнивается к заявке, содержащей предложение о поставке радиоэлектронной продукции из иностранного государства (не являющегося государством – членом ЕАЭС), если на участие в закупке подана заявка (соответствующая установленным Документацией о закупке требованиям), содержащая предложение о поставке радиоэлектронной продукции российского происхождения, являющейся в соответствии с ПП 719 радиоэлектронной продукцией первого уровня.</w:t>
      </w:r>
    </w:p>
    <w:p>
      <w:pPr>
        <w:pStyle w:val="Style23"/>
        <w:rPr/>
      </w:pPr>
      <w:r>
        <w:rPr/>
        <w:t>Если Договор был заключен по результатам закупки, в которой был установлен режим запрета закупки иностранных товаров, выполнения работ и (или) оказания услуг иностранным лицом,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 установлен запрет;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pPr>
        <w:pStyle w:val="Style23"/>
        <w:rPr/>
      </w:pPr>
      <w:r>
        <w:rPr/>
        <w:t>Если Договор был заключен по результатам закупки, в которой был установлен режим ограничения закупки иностранных товаров,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было установлено ограничение, если Договор предусматривает поставку товара российского происхождения.</w:t>
      </w:r>
    </w:p>
    <w:p>
      <w:pPr>
        <w:pStyle w:val="Style23"/>
        <w:rPr/>
      </w:pPr>
      <w:bookmarkStart w:id="202" w:name="_Hlk207810620"/>
      <w:r>
        <w:rPr/>
        <w:t>Если Договор был заключен по результатам закупки, в которой был установлен режим преимущество в отношении товара российского происхождения,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было установлено преимущество, если Договор предусматривает поставку товара российского происхождения</w:t>
      </w:r>
      <w:bookmarkEnd w:id="202"/>
      <w:r>
        <w:rPr/>
        <w:t>.</w:t>
      </w:r>
      <w:bookmarkEnd w:id="190"/>
      <w:bookmarkEnd w:id="191"/>
      <w:bookmarkEnd w:id="192"/>
      <w:bookmarkEnd w:id="193"/>
      <w:bookmarkEnd w:id="194"/>
    </w:p>
    <w:p>
      <w:pPr>
        <w:pStyle w:val="Style22"/>
        <w:rPr/>
      </w:pPr>
      <w:bookmarkStart w:id="203" w:name="_Ref125362658"/>
      <w:bookmarkStart w:id="204" w:name="_Ref125366091"/>
      <w:bookmarkStart w:id="205" w:name="_Ref125367242"/>
      <w:bookmarkStart w:id="206" w:name="_Toc228877227"/>
      <w:r>
        <w:rPr/>
        <w:t>Подведение итогов закупки (определение Победителя)</w:t>
      </w:r>
      <w:bookmarkEnd w:id="203"/>
      <w:bookmarkEnd w:id="204"/>
      <w:bookmarkEnd w:id="205"/>
      <w:bookmarkEnd w:id="206"/>
    </w:p>
    <w:p>
      <w:pPr>
        <w:pStyle w:val="Style23"/>
        <w:rPr/>
      </w:pPr>
      <w:r>
        <w:rPr/>
        <w:t>Дата окончания срока подведения итогов закупки указана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данный срок, официально разместив информацию об этом.</w:t>
      </w:r>
    </w:p>
    <w:p>
      <w:pPr>
        <w:pStyle w:val="Style23"/>
        <w:rPr/>
      </w:pPr>
      <w:r>
        <w:rPr/>
        <w:t>На основании полученных результатов оценки и сопоставления заявок Организатор подводит итоги закупки. Победителем закупки признается Участник, заявка которого заняла 1 (первое) место в ранжировке заявок по итогам рассмотрения, оценки и сопоставления заявок.</w:t>
      </w:r>
    </w:p>
    <w:p>
      <w:pPr>
        <w:pStyle w:val="Style23"/>
        <w:rPr/>
      </w:pPr>
      <w:r>
        <w:rPr/>
        <w:t>Если к моменту подведения итогов закупки с выбором в качестве Победителя ранее аккредитованного Участника прошло более 6 (шести) календарных месяцев с даты присвоения ему статуса «аккредитован» / «аккредитация не требуется», перед окончательным определением Победителя проводится процедура актуализации статуса аккредитации данного Участника. Если по результатам такой проверки Участнику присвоен статус «не аккредитован», его заявка отклоняется, а Закупочная комиссия имеет право выбрать в качестве Победителя иного Участника, занявшего следующее после него место в ранжировке заявок, из числа остальных действующих заявок (при наличии у него актуального статуса аккредитации).</w:t>
      </w:r>
    </w:p>
    <w:p>
      <w:pPr>
        <w:pStyle w:val="Style23"/>
        <w:keepNext w:val="true"/>
        <w:rPr/>
      </w:pPr>
      <w:bookmarkStart w:id="207" w:name="_Ref125365974"/>
      <w:r>
        <w:rPr/>
        <w:t>Решение Закупочной комиссии по определению Победителя оформляется итоговым протоколом по результатам закупки, в котором, как минимум, указываются</w:t>
      </w:r>
      <w:r>
        <w:rPr>
          <w:rStyle w:val="FootnoteReference"/>
        </w:rPr>
        <w:footnoteReference w:id="10"/>
      </w:r>
      <w:r>
        <w:rPr/>
        <w:t>:</w:t>
      </w:r>
      <w:bookmarkEnd w:id="207"/>
    </w:p>
    <w:p>
      <w:pPr>
        <w:pStyle w:val="Style24"/>
        <w:rPr/>
      </w:pPr>
      <w:r>
        <w:rPr/>
        <w:t>дата подписания протокола;</w:t>
      </w:r>
    </w:p>
    <w:p>
      <w:pPr>
        <w:pStyle w:val="Style24"/>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4"/>
        <w:rPr/>
      </w:pPr>
      <w:r>
        <w:rPr/>
        <w:t>наименования Участников, заявки которых были допущены по результатам рассмотрения вторых частей заявок, и (или) их идентификационные номера, присваиваемые Оператором ЭП;</w:t>
      </w:r>
    </w:p>
    <w:p>
      <w:pPr>
        <w:pStyle w:val="Style24"/>
        <w:keepNext w:val="true"/>
        <w:rPr/>
      </w:pPr>
      <w:r>
        <w:rPr/>
        <w:t>результаты рассмотрения ценовых предложений Участников с указанием, в том числе:</w:t>
      </w:r>
    </w:p>
    <w:p>
      <w:pPr>
        <w:pStyle w:val="Style25"/>
        <w:rPr/>
      </w:pPr>
      <w:r>
        <w:rPr/>
        <w:t>количества заявок, которые были отклонены (отдельно по результатам рассмотрения первых частей заявок, по результатам рассмотрения вторых частей заявок и результатам рассмотрения ценовых предложений);</w:t>
      </w:r>
    </w:p>
    <w:p>
      <w:pPr>
        <w:pStyle w:val="Style25"/>
        <w:rPr/>
      </w:pPr>
      <w:r>
        <w:rPr/>
        <w:t>оснований отклонения каждой заявки с указанием положений Документации о закупке, которым не соответствует такая заявка;</w:t>
      </w:r>
    </w:p>
    <w:p>
      <w:pPr>
        <w:pStyle w:val="Style24"/>
        <w:rPr/>
      </w:pPr>
      <w:r>
        <w:rPr/>
        <w:t>результаты дополнительного рассмотрения заявок (при возникновении оснований для отклонения заявок по результатам проведения актуализации статуса аккредитации, если такая процедура проводились) с указанием, в том числе:</w:t>
      </w:r>
    </w:p>
    <w:p>
      <w:pPr>
        <w:pStyle w:val="Style25"/>
        <w:rPr/>
      </w:pPr>
      <w:r>
        <w:rPr/>
        <w:t>количества заявок, которые были отклонены;</w:t>
      </w:r>
    </w:p>
    <w:p>
      <w:pPr>
        <w:pStyle w:val="Style25"/>
        <w:rPr/>
      </w:pPr>
      <w:r>
        <w:rPr/>
        <w:t>оснований отклонения каждой заявки с указанием положений Документации о закупке, которым не соответствует такая заявка;</w:t>
      </w:r>
    </w:p>
    <w:p>
      <w:pPr>
        <w:pStyle w:val="Style24"/>
        <w:rPr/>
      </w:pPr>
      <w:r>
        <w:rPr/>
        <w:t>порядковые номера каждой заявки (с указанием стоимостей заявок (цен Договоров), не отклоненной по результатам рассмотрения ценовых предложений, в том числе с учетом результатов актуализации статуса аккредитации (если указанная процедура проводилась), в ранжировке заявок;</w:t>
      </w:r>
    </w:p>
    <w:p>
      <w:pPr>
        <w:pStyle w:val="Style24"/>
        <w:rPr/>
      </w:pPr>
      <w:r>
        <w:rPr/>
        <w:t>наименование Победителя закупки или Единственного участника несостоявшейся закупки, с которым планируется заключить Договор;</w:t>
      </w:r>
    </w:p>
    <w:p>
      <w:pPr>
        <w:pStyle w:val="Style24"/>
        <w:rPr/>
      </w:pPr>
      <w:r>
        <w:rPr/>
        <w:t>причины, по которым закупка признана несостоявшейся (в случае ее признания таковой),</w:t>
      </w:r>
    </w:p>
    <w:p>
      <w:pPr>
        <w:pStyle w:val="Style27"/>
        <w:ind w:left="1134" w:hanging="0"/>
        <w:rPr/>
      </w:pPr>
      <w:r>
        <w:rPr/>
        <w:t>после чего Организатор официально размещает его в течение 3 (трех) календарных дней с даты подписания такого протокола.</w:t>
      </w:r>
    </w:p>
    <w:p>
      <w:pPr>
        <w:pStyle w:val="Style23"/>
        <w:rPr/>
      </w:pPr>
      <w:r>
        <w:rPr/>
        <w:t>Победитель дополнительно уведомляется о результатах проводимой закупки с использованием ЭП – уведомление направляется Оператором ЭП согласно Регламенту ЭП.</w:t>
      </w:r>
    </w:p>
    <w:p>
      <w:pPr>
        <w:pStyle w:val="Style23"/>
        <w:rPr/>
      </w:pPr>
      <w:r>
        <w:rPr/>
        <w:t>Если между официальным размещением итогового протокола по результатам закупки и подписанием Договора изменится Победитель (например, вследствие уклонения Победителя или потери им статуса), информация о новом Победителе официально размещается Организатором в том же порядке.</w:t>
      </w:r>
    </w:p>
    <w:p>
      <w:pPr>
        <w:pStyle w:val="Style23"/>
        <w:rPr/>
      </w:pPr>
      <w:r>
        <w:rPr/>
        <w:t>Любой Участник после официального размещения итогового протокола по результатам закупки вправе направить Организатору запрос о разъяснении результатов рассмотрения и (или) оценки и сопоставления своей заявки в порядке, аналогичном порядку направления запросов на разъяснение Документации о закупке (подраздел </w:t>
      </w:r>
      <w:r>
        <w:rPr/>
        <w:fldChar w:fldCharType="begin"/>
      </w:r>
      <w:r>
        <w:rPr/>
        <w:instrText xml:space="preserve"> REF _Ref130394205 \r \h </w:instrText>
      </w:r>
      <w:r>
        <w:rPr/>
        <w:fldChar w:fldCharType="separate"/>
      </w:r>
      <w:r>
        <w:rPr/>
        <w:t>4.4</w:t>
      </w:r>
      <w:r>
        <w:rPr/>
        <w:fldChar w:fldCharType="end"/>
      </w:r>
      <w:r>
        <w:rPr/>
        <w:t>). Организатор в течение 10 (десяти) рабочих дней со дня поступления такого запроса обязан предоставить такому Участнику соответствующие разъяснения. При этом в отношении иных Участников разъяснения не предоставляются.</w:t>
      </w:r>
    </w:p>
    <w:p>
      <w:pPr>
        <w:pStyle w:val="Style22"/>
        <w:rPr/>
      </w:pPr>
      <w:bookmarkStart w:id="208" w:name="_Ref125364149"/>
      <w:bookmarkStart w:id="209" w:name="_Ref125364187"/>
      <w:bookmarkStart w:id="210" w:name="_Ref125365305"/>
      <w:bookmarkStart w:id="211" w:name="_Ref125365570"/>
      <w:bookmarkStart w:id="212" w:name="_Ref125366631"/>
      <w:bookmarkStart w:id="213" w:name="_Ref125366796"/>
      <w:bookmarkStart w:id="214" w:name="_Toc228877228"/>
      <w:bookmarkStart w:id="215" w:name="_Ref132816300_Копия_1"/>
      <w:bookmarkStart w:id="216" w:name="_Ref130985951_Копия_1"/>
      <w:bookmarkEnd w:id="185"/>
      <w:bookmarkEnd w:id="186"/>
      <w:bookmarkEnd w:id="187"/>
      <w:bookmarkEnd w:id="188"/>
      <w:bookmarkEnd w:id="215"/>
      <w:bookmarkEnd w:id="216"/>
      <w:r>
        <w:rPr/>
        <w:t>Признание закупки несостоявшейся</w:t>
      </w:r>
      <w:bookmarkEnd w:id="208"/>
      <w:bookmarkEnd w:id="209"/>
      <w:bookmarkEnd w:id="210"/>
      <w:bookmarkEnd w:id="211"/>
      <w:bookmarkEnd w:id="212"/>
      <w:bookmarkEnd w:id="213"/>
      <w:bookmarkEnd w:id="214"/>
    </w:p>
    <w:p>
      <w:pPr>
        <w:pStyle w:val="Style23"/>
        <w:keepNext w:val="true"/>
        <w:rPr/>
      </w:pPr>
      <w:bookmarkStart w:id="217" w:name="_Ref214290100"/>
      <w:r>
        <w:rPr/>
        <w:t>Закупка признается несостоявшейся в следующих случаях:</w:t>
      </w:r>
      <w:bookmarkEnd w:id="217"/>
    </w:p>
    <w:p>
      <w:pPr>
        <w:pStyle w:val="Style24"/>
        <w:rPr/>
      </w:pPr>
      <w:r>
        <w:rPr/>
        <w:t>если по окончанию срока подачи заявок поступило менее 2 (двух) заявок (с учетом возможных отзывов заявок);</w:t>
      </w:r>
    </w:p>
    <w:p>
      <w:pPr>
        <w:pStyle w:val="Style24"/>
        <w:rPr/>
      </w:pPr>
      <w:r>
        <w:rPr/>
        <w:t>по результатам рассмотрения первых частей заявок Закупочной комиссией принято решение о признании менее 2 (двух) заявок соответствующими требованиям Документации о закупки;</w:t>
      </w:r>
    </w:p>
    <w:p>
      <w:pPr>
        <w:pStyle w:val="Style24"/>
        <w:rPr/>
      </w:pPr>
      <w:r>
        <w:rPr/>
        <w:t>по результатам проведения процедуры аукциона не поступило ни одного ценового предложения Участника – ценовой ставки;</w:t>
      </w:r>
    </w:p>
    <w:p>
      <w:pPr>
        <w:pStyle w:val="Style24"/>
        <w:rPr/>
      </w:pPr>
      <w:r>
        <w:rPr/>
        <w:t>по результатам рассмотрения вторых частей заявок Закупочной комиссией принято решение о признании менее 2 (двух) заявок соответствующими требованиям Документации о закупки;</w:t>
      </w:r>
    </w:p>
    <w:p>
      <w:pPr>
        <w:pStyle w:val="Style24"/>
        <w:rPr/>
      </w:pPr>
      <w:r>
        <w:rPr/>
        <w:t>по результатам рассмотрения ценовых предложений Закупочной комиссией принято решение о признании менее 2 (двух) заявок соответствующими требованиям Документации о закупки;</w:t>
      </w:r>
    </w:p>
    <w:p>
      <w:pPr>
        <w:pStyle w:val="Style24"/>
        <w:rPr/>
      </w:pPr>
      <w:bookmarkStart w:id="218" w:name="_Hlk219297033"/>
      <w:r>
        <w:rPr/>
        <w:t>по результатам проведения закупки от заключения договора уклонились все допущенные Участники (подраздел</w:t>
      </w:r>
      <w:bookmarkEnd w:id="218"/>
      <w:r>
        <w:rPr/>
        <w:t xml:space="preserve"> </w:t>
      </w:r>
      <w:r>
        <w:rPr/>
        <w:fldChar w:fldCharType="begin"/>
      </w:r>
      <w:r>
        <w:rPr/>
        <w:instrText xml:space="preserve"> REF _Ref125367068 \r \h </w:instrText>
      </w:r>
      <w:r>
        <w:rPr/>
        <w:fldChar w:fldCharType="separate"/>
      </w:r>
      <w:r>
        <w:rPr/>
        <w:t>5.3</w:t>
      </w:r>
      <w:r>
        <w:rPr/>
        <w:fldChar w:fldCharType="end"/>
      </w:r>
      <w:r>
        <w:rPr/>
        <w:t>).</w:t>
      </w:r>
    </w:p>
    <w:p>
      <w:pPr>
        <w:pStyle w:val="Style23"/>
        <w:rPr/>
      </w:pPr>
      <w:r>
        <w:rPr/>
        <w:t>Указанные обстоятельства в случае их наступления фиксируются в соответствующем протоколе, оформляемом по результатам проведения закупки (или ее этапа).</w:t>
      </w:r>
    </w:p>
    <w:p>
      <w:pPr>
        <w:pStyle w:val="Style23"/>
        <w:keepNext w:val="true"/>
        <w:rPr/>
      </w:pPr>
      <w:r>
        <w:rPr/>
        <w:t>В случае признания закупки несостоявшейся (с учетом условий, предусмотренных Положением о закупке):</w:t>
      </w:r>
    </w:p>
    <w:p>
      <w:pPr>
        <w:pStyle w:val="Style24"/>
        <w:rPr/>
      </w:pPr>
      <w:r>
        <w:rPr/>
        <w:t xml:space="preserve">если поступила только 1 (одна) заявка от одного Участника (с учетом отозванных Участниками заявок), либо по результатам рассмотрения заявок (частей заявок, ценовых предложений в соответствии с пунктом </w:t>
      </w:r>
      <w:r>
        <w:rPr/>
        <w:fldChar w:fldCharType="begin"/>
      </w:r>
      <w:r>
        <w:rPr/>
        <w:instrText xml:space="preserve"> REF _Ref214290100 \r \h </w:instrText>
      </w:r>
      <w:r>
        <w:rPr/>
        <w:fldChar w:fldCharType="separate"/>
      </w:r>
      <w:r>
        <w:rPr/>
        <w:t>4.19.1</w:t>
      </w:r>
      <w:r>
        <w:rPr/>
        <w:fldChar w:fldCharType="end"/>
      </w:r>
      <w:r>
        <w:rPr/>
        <w:t>) принято решение о признании только 1 (одной) заявки соответствующей требованиям Документации о закупке – Заказчик заключает договор с Единственным участником несостоявшейся закупки (раздел </w:t>
      </w:r>
      <w:r>
        <w:rPr/>
        <w:fldChar w:fldCharType="begin"/>
      </w:r>
      <w:r>
        <w:rPr/>
        <w:instrText xml:space="preserve"> REF _Ref126142429 \r \h </w:instrText>
      </w:r>
      <w:r>
        <w:rPr/>
        <w:fldChar w:fldCharType="separate"/>
      </w:r>
      <w:r>
        <w:rPr/>
        <w:t>5</w:t>
      </w:r>
      <w:r>
        <w:rPr/>
        <w:fldChar w:fldCharType="end"/>
      </w:r>
      <w:r>
        <w:rPr/>
        <w:t>) (при наличии экономической целесообразности и/или при условии отсутствия времени на повторное проведение закупки).</w:t>
      </w:r>
    </w:p>
    <w:p>
      <w:pPr>
        <w:pStyle w:val="Style34"/>
        <w:numPr>
          <w:ilvl w:val="0"/>
          <w:numId w:val="0"/>
        </w:numPr>
        <w:ind w:left="1701" w:hanging="0"/>
        <w:rPr>
          <w:sz w:val="26"/>
          <w:szCs w:val="26"/>
        </w:rPr>
      </w:pPr>
      <w:r>
        <w:rPr>
          <w:sz w:val="26"/>
          <w:szCs w:val="26"/>
        </w:rPr>
        <w:t>В случае отсутствия экономической целесообразности и/или при наличии времени на повторное проведение закупки, Заказчик принимает одно из следующих решений в порядке приоритета:</w:t>
      </w:r>
    </w:p>
    <w:p>
      <w:pPr>
        <w:pStyle w:val="-1"/>
        <w:numPr>
          <w:ilvl w:val="0"/>
          <w:numId w:val="17"/>
        </w:numPr>
        <w:tabs>
          <w:tab w:val="clear" w:pos="2552"/>
        </w:tabs>
        <w:ind w:left="2127" w:hanging="426"/>
        <w:rPr>
          <w:sz w:val="26"/>
          <w:szCs w:val="26"/>
        </w:rPr>
      </w:pPr>
      <w:r>
        <w:rPr>
          <w:sz w:val="26"/>
          <w:szCs w:val="26"/>
        </w:rPr>
        <w:t>повторное проведение закупки (в том числе с возможностью снятия признака закупки только среди субъектов МСП);</w:t>
      </w:r>
    </w:p>
    <w:p>
      <w:pPr>
        <w:pStyle w:val="-1"/>
        <w:numPr>
          <w:ilvl w:val="0"/>
          <w:numId w:val="17"/>
        </w:numPr>
        <w:tabs>
          <w:tab w:val="clear" w:pos="2552"/>
        </w:tabs>
        <w:ind w:left="1701" w:hanging="0"/>
        <w:rPr>
          <w:sz w:val="26"/>
          <w:szCs w:val="26"/>
        </w:rPr>
      </w:pPr>
      <w:r>
        <w:rPr>
          <w:sz w:val="26"/>
          <w:szCs w:val="26"/>
        </w:rPr>
        <w:t>отказ от заключения договора по следующим основаниям:</w:t>
      </w:r>
    </w:p>
    <w:p>
      <w:pPr>
        <w:pStyle w:val="-1"/>
        <w:numPr>
          <w:ilvl w:val="0"/>
          <w:numId w:val="18"/>
        </w:numPr>
        <w:tabs>
          <w:tab w:val="clear" w:pos="2552"/>
        </w:tabs>
        <w:ind w:left="2410" w:hanging="283"/>
        <w:rPr>
          <w:sz w:val="26"/>
          <w:szCs w:val="26"/>
        </w:rPr>
      </w:pPr>
      <w:r>
        <w:rPr>
          <w:sz w:val="26"/>
          <w:szCs w:val="26"/>
        </w:rPr>
        <w:t>изменение финансовых, инвестиционных, производственных и иных программ, оказавших влияние на потребность в данной закупке;</w:t>
      </w:r>
    </w:p>
    <w:p>
      <w:pPr>
        <w:pStyle w:val="-1"/>
        <w:numPr>
          <w:ilvl w:val="0"/>
          <w:numId w:val="18"/>
        </w:numPr>
        <w:tabs>
          <w:tab w:val="clear" w:pos="2552"/>
        </w:tabs>
        <w:ind w:left="2410" w:hanging="283"/>
        <w:rPr>
          <w:sz w:val="26"/>
          <w:szCs w:val="26"/>
        </w:rPr>
      </w:pPr>
      <w:r>
        <w:rPr>
          <w:sz w:val="26"/>
          <w:szCs w:val="26"/>
        </w:rPr>
        <w:t>изменение потребности в продукции, в том числе изменение характеристик продукции, при наличии утверждения таких изменений;</w:t>
      </w:r>
    </w:p>
    <w:p>
      <w:pPr>
        <w:pStyle w:val="-1"/>
        <w:numPr>
          <w:ilvl w:val="0"/>
          <w:numId w:val="18"/>
        </w:numPr>
        <w:tabs>
          <w:tab w:val="clear" w:pos="2552"/>
        </w:tabs>
        <w:ind w:left="2410" w:hanging="283"/>
        <w:rPr>
          <w:sz w:val="26"/>
          <w:szCs w:val="26"/>
        </w:rPr>
      </w:pPr>
      <w:r>
        <w:rPr>
          <w:sz w:val="26"/>
          <w:szCs w:val="26"/>
        </w:rPr>
        <w:t>необходимость исполнения предписаний антимонопольного органа;</w:t>
      </w:r>
    </w:p>
    <w:p>
      <w:pPr>
        <w:pStyle w:val="-1"/>
        <w:numPr>
          <w:ilvl w:val="0"/>
          <w:numId w:val="17"/>
        </w:numPr>
        <w:tabs>
          <w:tab w:val="clear" w:pos="2552"/>
        </w:tabs>
        <w:ind w:left="2127" w:hanging="426"/>
        <w:rPr>
          <w:sz w:val="26"/>
          <w:szCs w:val="26"/>
        </w:rPr>
      </w:pPr>
      <w:bookmarkStart w:id="219" w:name="_Hlk214281841"/>
      <w:r>
        <w:rPr>
          <w:sz w:val="26"/>
          <w:szCs w:val="26"/>
        </w:rPr>
        <w:t>отказ от дополнительного повторного проведения закупки (при отсутствии заявок, соответствующих установленным требованиям, по результатам повторного проведения закупки);</w:t>
      </w:r>
      <w:bookmarkEnd w:id="219"/>
    </w:p>
    <w:p>
      <w:pPr>
        <w:pStyle w:val="Style24"/>
        <w:rPr/>
      </w:pPr>
      <w:r>
        <w:rPr/>
        <w:t xml:space="preserve">если не поступило ни одной заявки (ни одного ценового предложения по результатам проведения процедуры аукциона в соответствии с пунктом </w:t>
      </w:r>
      <w:r>
        <w:rPr/>
        <w:fldChar w:fldCharType="begin"/>
      </w:r>
      <w:r>
        <w:rPr/>
        <w:instrText xml:space="preserve"> REF _Ref214290100 \r \h </w:instrText>
      </w:r>
      <w:r>
        <w:rPr/>
        <w:fldChar w:fldCharType="separate"/>
      </w:r>
      <w:r>
        <w:rPr/>
        <w:t>4.19.1</w:t>
      </w:r>
      <w:r>
        <w:rPr/>
        <w:fldChar w:fldCharType="end"/>
      </w:r>
      <w:r>
        <w:rPr/>
        <w:t xml:space="preserve">), либо по результатам рассмотрения заявок (частей заявок, ценовых предложений в соответствии с пунктом </w:t>
      </w:r>
      <w:r>
        <w:rPr/>
        <w:fldChar w:fldCharType="begin"/>
      </w:r>
      <w:r>
        <w:rPr/>
        <w:instrText xml:space="preserve"> REF _Ref214290100 \r \h </w:instrText>
      </w:r>
      <w:r>
        <w:rPr/>
        <w:fldChar w:fldCharType="separate"/>
      </w:r>
      <w:r>
        <w:rPr/>
        <w:t>4.19.1</w:t>
      </w:r>
      <w:r>
        <w:rPr/>
        <w:fldChar w:fldCharType="end"/>
      </w:r>
      <w:r>
        <w:rPr/>
        <w:t xml:space="preserve">), принято решение о признании их не соответствующими требованиям Документации о закупке, </w:t>
      </w:r>
      <w:bookmarkStart w:id="220" w:name="_Hlk219297054"/>
      <w:r>
        <w:rPr/>
        <w:t>либо по результатам проведения закупки от заключения договора уклонились все допущенные Участники</w:t>
      </w:r>
      <w:bookmarkEnd w:id="220"/>
      <w:r>
        <w:rPr/>
        <w:t xml:space="preserve"> – Заказчик проводит повторную закупку (</w:t>
      </w:r>
      <w:r>
        <w:rPr>
          <w:szCs w:val="26"/>
        </w:rPr>
        <w:t>в том числе с возможностью снятия признака закупки только среди субъектов МСП</w:t>
      </w:r>
      <w:r>
        <w:rPr/>
        <w:t>).</w:t>
      </w:r>
    </w:p>
    <w:p>
      <w:pPr>
        <w:pStyle w:val="Style34"/>
        <w:numPr>
          <w:ilvl w:val="0"/>
          <w:numId w:val="0"/>
        </w:numPr>
        <w:ind w:left="1701" w:hanging="0"/>
        <w:rPr>
          <w:sz w:val="26"/>
          <w:szCs w:val="26"/>
        </w:rPr>
      </w:pPr>
      <w:r>
        <w:rPr>
          <w:sz w:val="26"/>
          <w:szCs w:val="26"/>
        </w:rPr>
        <w:t>Заказчик вправе отказаться от проведения повторной закупки по следующим основаниям:</w:t>
      </w:r>
    </w:p>
    <w:p>
      <w:pPr>
        <w:pStyle w:val="-1"/>
        <w:numPr>
          <w:ilvl w:val="0"/>
          <w:numId w:val="18"/>
        </w:numPr>
        <w:tabs>
          <w:tab w:val="clear" w:pos="2552"/>
        </w:tabs>
        <w:ind w:left="2127" w:hanging="426"/>
        <w:rPr>
          <w:sz w:val="26"/>
          <w:szCs w:val="26"/>
        </w:rPr>
      </w:pPr>
      <w:r>
        <w:rPr>
          <w:sz w:val="26"/>
          <w:szCs w:val="26"/>
        </w:rPr>
        <w:t>изменение финансовых, инвестиционных, производственных и иных программ, оказавших влияние на потребность в данной закупке;</w:t>
      </w:r>
    </w:p>
    <w:p>
      <w:pPr>
        <w:pStyle w:val="-1"/>
        <w:numPr>
          <w:ilvl w:val="0"/>
          <w:numId w:val="18"/>
        </w:numPr>
        <w:tabs>
          <w:tab w:val="clear" w:pos="2552"/>
        </w:tabs>
        <w:ind w:left="2127" w:hanging="426"/>
        <w:rPr>
          <w:sz w:val="26"/>
          <w:szCs w:val="26"/>
        </w:rPr>
      </w:pPr>
      <w:r>
        <w:rPr>
          <w:sz w:val="26"/>
          <w:szCs w:val="26"/>
        </w:rPr>
        <w:t>изменение потребности в продукции, в том числе изменение характеристик продукции;</w:t>
      </w:r>
    </w:p>
    <w:p>
      <w:pPr>
        <w:pStyle w:val="-1"/>
        <w:numPr>
          <w:ilvl w:val="0"/>
          <w:numId w:val="18"/>
        </w:numPr>
        <w:tabs>
          <w:tab w:val="clear" w:pos="2552"/>
        </w:tabs>
        <w:ind w:left="2127" w:hanging="426"/>
        <w:rPr>
          <w:sz w:val="26"/>
          <w:szCs w:val="26"/>
        </w:rPr>
      </w:pPr>
      <w:r>
        <w:rPr>
          <w:sz w:val="26"/>
          <w:szCs w:val="26"/>
        </w:rPr>
        <w:t>при отсутствии заявок, соответствующих установленным требованиям, по результатам повторного проведения закупки.</w:t>
      </w:r>
    </w:p>
    <w:p>
      <w:pPr>
        <w:pStyle w:val="Style22"/>
        <w:rPr/>
      </w:pPr>
      <w:bookmarkStart w:id="221" w:name="_Ref132816134"/>
      <w:bookmarkStart w:id="222" w:name="_Ref132816141"/>
      <w:bookmarkStart w:id="223" w:name="_Toc228877229"/>
      <w:bookmarkStart w:id="224" w:name="_Ref126141962"/>
      <w:bookmarkStart w:id="225" w:name="_Toc224743239"/>
      <w:bookmarkStart w:id="226" w:name="_Toc224743240"/>
      <w:bookmarkStart w:id="227" w:name="_Toc224743241"/>
      <w:bookmarkStart w:id="228" w:name="_Toc224743242"/>
      <w:bookmarkEnd w:id="225"/>
      <w:bookmarkEnd w:id="226"/>
      <w:bookmarkEnd w:id="227"/>
      <w:bookmarkEnd w:id="228"/>
      <w:r>
        <w:rPr/>
        <w:t>Отказ от проведения закупки</w:t>
      </w:r>
      <w:bookmarkEnd w:id="224"/>
      <w:r>
        <w:rPr/>
        <w:t xml:space="preserve"> (отмена закупки)</w:t>
      </w:r>
      <w:bookmarkEnd w:id="221"/>
      <w:bookmarkEnd w:id="222"/>
      <w:bookmarkEnd w:id="223"/>
    </w:p>
    <w:p>
      <w:pPr>
        <w:pStyle w:val="Style23"/>
        <w:rPr/>
      </w:pPr>
      <w:r>
        <w:rPr/>
        <w:t>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p>
    <w:p>
      <w:pPr>
        <w:pStyle w:val="Style23"/>
        <w:rPr/>
      </w:pPr>
      <w:r>
        <w:rPr/>
        <w:t>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p>
    <w:p>
      <w:pPr>
        <w:pStyle w:val="Style23"/>
        <w:rPr/>
      </w:pPr>
      <w:r>
        <w:rPr/>
        <w:t>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 гражданским законодательством.</w:t>
      </w:r>
    </w:p>
    <w:p>
      <w:pPr>
        <w:pStyle w:val="Style22"/>
        <w:rPr/>
      </w:pPr>
      <w:bookmarkStart w:id="229" w:name="_Ref130455226"/>
      <w:bookmarkStart w:id="230" w:name="_Toc228877230"/>
      <w:r>
        <w:rPr/>
        <w:t>Особенности проведения закупки с необходимостью обеспечения заявки</w:t>
      </w:r>
      <w:bookmarkEnd w:id="229"/>
      <w:bookmarkEnd w:id="230"/>
    </w:p>
    <w:p>
      <w:pPr>
        <w:pStyle w:val="Style23"/>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предусмотрена обязанность Участников предоставить обеспечение заявки на участие в закупке.</w:t>
      </w:r>
    </w:p>
    <w:p>
      <w:pPr>
        <w:pStyle w:val="Style23"/>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3"/>
        <w:rPr/>
      </w:pPr>
      <w:r>
        <w:rPr/>
        <w:t>Обязательства Участников, связанные с подачей заявок, обеспечиваются в форме, порядке и размере в соответствии с подразделом </w:t>
      </w:r>
      <w:r>
        <w:rPr/>
        <w:fldChar w:fldCharType="begin"/>
      </w:r>
      <w:r>
        <w:rPr/>
        <w:instrText xml:space="preserve"> REF _Ref125359973 \r \h </w:instrText>
      </w:r>
      <w:r>
        <w:rPr/>
        <w:fldChar w:fldCharType="separate"/>
      </w:r>
      <w:r>
        <w:rPr/>
        <w:t>1.2</w:t>
      </w:r>
      <w:r>
        <w:rPr/>
        <w:fldChar w:fldCharType="end"/>
      </w:r>
      <w:r>
        <w:rPr/>
        <w:t>. Выбор формы (способа) обеспечения из числа предусмотренных осуществляется Участниками самостоятельно.</w:t>
      </w:r>
    </w:p>
    <w:p>
      <w:pPr>
        <w:pStyle w:val="Style23"/>
        <w:rPr/>
      </w:pPr>
      <w:r>
        <w:rPr/>
        <w:t>В случае выбора Участником обеспечения заявки в виде денежных средств, такие денежные средства в требуемом размере должны быть внесены до момента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на специальный банковский счет, открытый Участником в банке, включенном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Pr>
          <w:rStyle w:val="FootnoteReference"/>
        </w:rPr>
        <w:footnoteReference w:id="11"/>
      </w:r>
      <w:r>
        <w:rPr/>
        <w:t xml:space="preserve"> и на сайте ЭП, с использованием которой проводится настоящая закупка,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Российской Федерации, а также наличия соответствующего соглашения об интеграции и обмене информацией с Оператором ЭП.</w:t>
      </w:r>
    </w:p>
    <w:p>
      <w:pPr>
        <w:pStyle w:val="Style23"/>
        <w:rPr/>
      </w:pPr>
      <w:r>
        <w:rPr/>
        <w:t>В течение 1 (одного) часа с момента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Оператор ЭП направляет в банк, в котором Участником открыт специальный банковский счет, информацию о таком Участнике и размере денежных средств, необходимом для обеспечения заявки. Банк в течение 1 (одного) часа с момента получения указанной информации осуществляет блокирование при наличии на специальном банковском счете Участника незаблокированных денежных средств в размере обеспечения заявки и информирует об этом Оператора ЭП.</w:t>
      </w:r>
    </w:p>
    <w:p>
      <w:pPr>
        <w:pStyle w:val="Style23"/>
        <w:rPr/>
      </w:pPr>
      <w:r>
        <w:rPr/>
        <w:t>Блокирование денежных средств не осуществляется в случае отсутствия на специальном банковском счете Участника денежных средств в требуемом размере, либо в случае приостановления операций по такому счету в соответствии с законодательством, о чем Оператор ЭП информируется в течение 1 (одного) часа.</w:t>
      </w:r>
    </w:p>
    <w:p>
      <w:pPr>
        <w:pStyle w:val="Style23"/>
        <w:rPr/>
      </w:pPr>
      <w:r>
        <w:rPr/>
        <w:t>Если блокирование денежных средств не может быть осуществлено, Оператор ЭП возвращает заявку подавшему ее Участнику в течение 1 (одного) часа с момента получения соответствующей информации от банка. Такая заявка автоматически отклоняется Оператором ЭП от дальнейшего участия в закупке, а сведения о ней не направляются в адрес Организатора.</w:t>
      </w:r>
    </w:p>
    <w:p>
      <w:pPr>
        <w:pStyle w:val="Style23"/>
        <w:keepNext w:val="true"/>
        <w:rPr/>
      </w:pPr>
      <w:r>
        <w:rPr/>
        <w:t>В случае выбора Участником обеспечения заявки путем предоставления независимой гарантии, такая независимая гарантия составляется с учетом требований статей 368 – 379 ГК РФ, а также следующих условий:</w:t>
      </w:r>
    </w:p>
    <w:p>
      <w:pPr>
        <w:pStyle w:val="Style24"/>
        <w:rPr/>
      </w:pPr>
      <w:r>
        <w:rPr/>
        <w:t>независимая гарантия должна быть безотзывной и безусловной (гарантия по первому требованию);</w:t>
      </w:r>
    </w:p>
    <w:p>
      <w:pPr>
        <w:pStyle w:val="Style24"/>
        <w:rPr/>
      </w:pPr>
      <w:r>
        <w:rPr/>
        <w:t>сумма независимой гарантии должна быть выражена в российских рублях и составлять не менее суммы, установленной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4"/>
        <w:rPr/>
      </w:pPr>
      <w:r>
        <w:rPr/>
        <w:t>бенефициаром в независимой гарантии должен быть указан Заказчик, принципалом – Участник, гарантом – организация, выдавшая независимую гарантию (подпункт </w:t>
      </w:r>
      <w:r>
        <w:rPr/>
        <w:fldChar w:fldCharType="begin"/>
      </w:r>
      <w:r>
        <w:rPr/>
        <w:instrText xml:space="preserve"> REF _Ref132716380 \w \h </w:instrText>
      </w:r>
      <w:r>
        <w:rPr/>
        <w:fldChar w:fldCharType="separate"/>
      </w:r>
      <w:r>
        <w:rPr/>
        <w:t>4.21.8л)</w:t>
      </w:r>
      <w:r>
        <w:rPr/>
        <w:fldChar w:fldCharType="end"/>
      </w:r>
      <w:r>
        <w:rPr/>
        <w:t>);</w:t>
      </w:r>
    </w:p>
    <w:p>
      <w:pPr>
        <w:pStyle w:val="Style24"/>
        <w:rPr/>
      </w:pPr>
      <w:r>
        <w:rPr/>
        <w:t>в независимой гарантии должно быть предусмотрено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ГК РФ оснований для отказа в удовлетворении этого требования;</w:t>
      </w:r>
    </w:p>
    <w:p>
      <w:pPr>
        <w:pStyle w:val="Style24"/>
        <w:rPr/>
      </w:pPr>
      <w:r>
        <w:rPr/>
        <w:t>в независимой гарантии должен быть указан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w:t>
      </w:r>
    </w:p>
    <w:p>
      <w:pPr>
        <w:pStyle w:val="Style24"/>
        <w:rPr/>
      </w:pPr>
      <w:r>
        <w:rPr/>
        <w:t>в независимой гарантии должен быть указан срок действия независимой гарантии, который не может составлять менее одного месяца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p>
    <w:p>
      <w:pPr>
        <w:pStyle w:val="Style24"/>
        <w:rPr/>
      </w:pPr>
      <w:r>
        <w:rPr/>
        <w:t>независимая гарантия не должна содержать условие о предоставлении Заказчиком гаранту судебных актов, подтверждающих неисполнение Участником обязательств, обеспечиваемых независимой гарантией;</w:t>
      </w:r>
    </w:p>
    <w:p>
      <w:pPr>
        <w:pStyle w:val="Style24"/>
        <w:rPr/>
      </w:pPr>
      <w:r>
        <w:rPr/>
        <w:t>в независимой гарантии должно быть предусмотрено безусловное право Заказчика на истребование суммы независимой гарантии полностью или частично, в случае нарушения Участником закупки своих обязательств (пункт </w:t>
      </w:r>
      <w:r>
        <w:rPr/>
        <w:fldChar w:fldCharType="begin"/>
      </w:r>
      <w:r>
        <w:rPr/>
        <w:instrText xml:space="preserve"> REF _Ref132716182 \r \h </w:instrText>
      </w:r>
      <w:r>
        <w:rPr/>
        <w:fldChar w:fldCharType="separate"/>
      </w:r>
      <w:r>
        <w:rPr/>
        <w:t>4.21.14</w:t>
      </w:r>
      <w:r>
        <w:rPr/>
        <w:fldChar w:fldCharType="end"/>
      </w:r>
      <w:r>
        <w:rPr/>
        <w:t>);</w:t>
      </w:r>
    </w:p>
    <w:p>
      <w:pPr>
        <w:pStyle w:val="Style24"/>
        <w:rPr/>
      </w:pPr>
      <w:r>
        <w:rPr/>
        <w:t>независимая гарантия должна содержать условия, предусмотренные Законом 223-ФЗ, а также соответствовать дополнительным требованиям к независимой гарантии, используемой для целей проведения конкурентных закупок с участием субъектов МСП, устанавливаемым Правительством Российской Федерации;</w:t>
      </w:r>
    </w:p>
    <w:p>
      <w:pPr>
        <w:pStyle w:val="Style24"/>
        <w:rPr/>
      </w:pPr>
      <w:r>
        <w:rPr/>
        <w:t>в независимой гарантии не должно быть условий или требований, противоречащих вышеизложенному или делающих вышеизложенное неисполнимым;</w:t>
      </w:r>
    </w:p>
    <w:p>
      <w:pPr>
        <w:pStyle w:val="Style24"/>
        <w:rPr/>
      </w:pPr>
      <w:bookmarkStart w:id="231" w:name="_Ref132716380"/>
      <w:r>
        <w:rPr/>
        <w:t>независимая гарантия должна быть выдана организацией из числа указанных в части 1 статьи 45 Закона 44-ФЗ;</w:t>
      </w:r>
      <w:bookmarkEnd w:id="231"/>
    </w:p>
    <w:p>
      <w:pPr>
        <w:pStyle w:val="Style24"/>
        <w:rPr/>
      </w:pPr>
      <w:r>
        <w:rPr/>
        <w:t>независимая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 758) (Публикация Международной торговой палаты № 758). Редакция 2010 года» в той мере, в какой указанные правила не противоречат императивным нормам законодательства, а также предусматривать Арбитражный суд по месту нахождения Заказчика в качестве органа, компетентного разрешать споры из независимой гарантии;</w:t>
      </w:r>
    </w:p>
    <w:p>
      <w:pPr>
        <w:pStyle w:val="Style24"/>
        <w:rPr/>
      </w:pPr>
      <w:r>
        <w:rPr/>
        <w:t>информация о независимой гарантии должна быть включена в реестр независимых гарантий, предусмотренный частью 8 статьи </w:t>
      </w:r>
      <w:r>
        <w:rPr>
          <w:lang w:val="en-US"/>
        </w:rPr>
        <w:t>4</w:t>
      </w:r>
      <w:r>
        <w:rPr/>
        <w:t>5 Закона 44</w:t>
        <w:noBreakHyphen/>
        <w:t>ФЗ.</w:t>
      </w:r>
    </w:p>
    <w:p>
      <w:pPr>
        <w:pStyle w:val="Style23"/>
        <w:rPr/>
      </w:pPr>
      <w:r>
        <w:rPr/>
        <w:t>В случае выбора Участником обеспечения заявки путем предоставления независимой гарантии он должен предоставить в составе своей заявки копию такой гарантии,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p>
    <w:p>
      <w:pPr>
        <w:pStyle w:val="Style23"/>
        <w:rPr/>
      </w:pPr>
      <w:r>
        <w:rPr/>
        <w:t>Несоответствие независимой гарантии, предоставленной Участником закупки, предусмотренным настоящей Документацией о закупке требованиям, является основанием для отклонения заявки такого Участника.</w:t>
      </w:r>
    </w:p>
    <w:p>
      <w:pPr>
        <w:pStyle w:val="Style23"/>
        <w:rPr/>
      </w:pPr>
      <w:r>
        <w:rPr/>
        <w:t>При многолотовой закупке (подраздел </w:t>
      </w:r>
      <w:r>
        <w:rPr/>
        <w:fldChar w:fldCharType="begin"/>
      </w:r>
      <w:r>
        <w:rPr/>
        <w:instrText xml:space="preserve"> REF _Ref149317181 \n \h </w:instrText>
      </w:r>
      <w:r>
        <w:rPr/>
        <w:fldChar w:fldCharType="separate"/>
      </w:r>
      <w:r>
        <w:rPr/>
        <w:t>4.22</w:t>
      </w:r>
      <w:r>
        <w:rPr/>
        <w:fldChar w:fldCharType="end"/>
      </w:r>
      <w:r>
        <w:rPr/>
        <w:t>) обеспечение исполнения обязательств Участника оформляется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pPr>
        <w:pStyle w:val="Style23"/>
        <w:rPr/>
      </w:pPr>
      <w:r>
        <w:rPr/>
        <w:t>Подать заявку (принять участие в закупке) могут только Участники, предоставившие надлежащее обеспечение их заявок.</w:t>
      </w:r>
    </w:p>
    <w:p>
      <w:pPr>
        <w:pStyle w:val="Style23"/>
        <w:rPr/>
      </w:pPr>
      <w:r>
        <w:rPr/>
        <w:t>Требование об обеспечении заявки в равной мере распространяется на всех Участников.</w:t>
      </w:r>
    </w:p>
    <w:p>
      <w:pPr>
        <w:pStyle w:val="Style23"/>
        <w:keepNext w:val="true"/>
        <w:rPr/>
      </w:pPr>
      <w:bookmarkStart w:id="232" w:name="_Ref132716182"/>
      <w:r>
        <w:rPr/>
        <w:t>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232"/>
    </w:p>
    <w:p>
      <w:pPr>
        <w:pStyle w:val="Style24"/>
        <w:rPr/>
      </w:pPr>
      <w:r>
        <w:rPr/>
        <w:t>обязательство заключить Договор в установленном Документацией о закупке порядке (раздел </w:t>
      </w:r>
      <w:r>
        <w:rPr/>
        <w:fldChar w:fldCharType="begin"/>
      </w:r>
      <w:r>
        <w:rPr/>
        <w:instrText xml:space="preserve"> REF _Ref130224037 \r \h </w:instrText>
      </w:r>
      <w:r>
        <w:rPr/>
        <w:fldChar w:fldCharType="separate"/>
      </w:r>
      <w:r>
        <w:rPr/>
        <w:t>5</w:t>
      </w:r>
      <w:r>
        <w:rPr/>
        <w:fldChar w:fldCharType="end"/>
      </w:r>
      <w:r>
        <w:rPr/>
        <w:t>), в том числе предоставить Сведения о цепочке собственников, включая бенефициаров (в том числе конечных) (</w:t>
      </w:r>
      <w:hyperlink w:anchor="Прил05_ФормыПобедителя">
        <w:r>
          <w:rPr>
            <w:rStyle w:val="Style11"/>
          </w:rPr>
          <w:t>Приложение № 5</w:t>
        </w:r>
      </w:hyperlink>
      <w:r>
        <w:rPr/>
        <w:t>), а также предоставить иные документы в соответствии с условиями подраздела </w:t>
      </w:r>
      <w:r>
        <w:rPr/>
        <w:fldChar w:fldCharType="begin"/>
      </w:r>
      <w:r>
        <w:rPr/>
        <w:instrText xml:space="preserve"> REF _Ref138341423 \r \h </w:instrText>
      </w:r>
      <w:r>
        <w:rPr/>
        <w:fldChar w:fldCharType="separate"/>
      </w:r>
      <w:r>
        <w:rPr/>
        <w:t>5.2</w:t>
      </w:r>
      <w:r>
        <w:rPr/>
        <w:fldChar w:fldCharType="end"/>
      </w:r>
      <w:r>
        <w:rPr/>
        <w:t>;</w:t>
      </w:r>
    </w:p>
    <w:p>
      <w:pPr>
        <w:pStyle w:val="Style24"/>
        <w:rPr/>
      </w:pPr>
      <w:r>
        <w:rPr/>
        <w:t xml:space="preserve">обязательство предоставить до заключения договора Заказчику обеспечение исполнения договора – если </w:t>
      </w:r>
      <w:hyperlink w:anchor="Прил02_ПроектДоговора">
        <w:r>
          <w:rPr>
            <w:rStyle w:val="Style11"/>
          </w:rPr>
          <w:t>Проект договора (Приложение № 2)</w:t>
        </w:r>
      </w:hyperlink>
      <w:r>
        <w:rPr/>
        <w:t xml:space="preserve"> предусматривает обеспечение исполнения договора с соответствующими обязательствами (в порядке и сроки, предусмотренные </w:t>
      </w:r>
      <w:hyperlink w:anchor="Прил02_ПроектДоговора">
        <w:r>
          <w:rPr>
            <w:rStyle w:val="Style11"/>
          </w:rPr>
          <w:t>Проектом договора</w:t>
        </w:r>
      </w:hyperlink>
      <w:r>
        <w:rPr/>
        <w:t>).</w:t>
      </w:r>
    </w:p>
    <w:p>
      <w:pPr>
        <w:pStyle w:val="Style23"/>
        <w:rPr/>
      </w:pPr>
      <w:r>
        <w:rPr/>
        <w:t>В случае невыполнения Победителем указанных выше обязательств Организатор вправе удержать обеспечение заявки путем обращения в соответствующую организацию-гарант. При этом в случае предоставления Участником обеспечения в виде денежных средств, сумма обеспечения заявки, внесенная на специальный банковский счет, перечисляется банком-гарантом на счет Заказчика (подраздел </w:t>
      </w:r>
      <w:r>
        <w:rPr/>
        <w:fldChar w:fldCharType="begin"/>
      </w:r>
      <w:r>
        <w:rPr/>
        <w:instrText xml:space="preserve"> REF _Ref125359973 \r \h </w:instrText>
      </w:r>
      <w:r>
        <w:rPr/>
        <w:fldChar w:fldCharType="separate"/>
      </w:r>
      <w:r>
        <w:rPr/>
        <w:t>1.2</w:t>
      </w:r>
      <w:r>
        <w:rPr/>
        <w:fldChar w:fldCharType="end"/>
      </w:r>
      <w:r>
        <w:rPr/>
        <w:t>).</w:t>
      </w:r>
    </w:p>
    <w:p>
      <w:pPr>
        <w:pStyle w:val="Style23"/>
        <w:keepNext w:val="true"/>
        <w:rPr/>
      </w:pPr>
      <w:r>
        <w:rPr/>
        <w:t>Возврат обеспечения заявки (в случае предоставления Участником обеспечения в виде денежных средств) осуществляется Организатором в срок не более 7 (семи) рабочих дней с даты:</w:t>
      </w:r>
    </w:p>
    <w:p>
      <w:pPr>
        <w:pStyle w:val="Style24"/>
        <w:rPr/>
      </w:pPr>
      <w:r>
        <w:rPr/>
        <w:t>принятия решения об отказе от проведения закупки – всем Участникам, подавшим заявки к моменту принятия такого решения;</w:t>
      </w:r>
    </w:p>
    <w:p>
      <w:pPr>
        <w:pStyle w:val="Style24"/>
        <w:rPr/>
      </w:pPr>
      <w:r>
        <w:rPr/>
        <w:t>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p>
    <w:p>
      <w:pPr>
        <w:pStyle w:val="Style24"/>
        <w:rPr/>
      </w:pPr>
      <w:r>
        <w:rPr/>
        <w:t>официального размещения итогового протокола по результатам закупки – всем Участникам, кроме Победителя;</w:t>
      </w:r>
    </w:p>
    <w:p>
      <w:pPr>
        <w:pStyle w:val="Style24"/>
        <w:rPr/>
      </w:pPr>
      <w:r>
        <w:rPr/>
        <w:t>заключения Договора по результатам закупки – Победителю, с которым заключен Договор;</w:t>
      </w:r>
    </w:p>
    <w:p>
      <w:pPr>
        <w:pStyle w:val="Style24"/>
        <w:rPr/>
      </w:pPr>
      <w:r>
        <w:rPr/>
        <w:t>признания закупки несостоявшейся – Участнику, которому обеспечение не было возвращено по иным основаниям.</w:t>
      </w:r>
    </w:p>
    <w:p>
      <w:pPr>
        <w:pStyle w:val="Style23"/>
        <w:rPr/>
      </w:pPr>
      <w:r>
        <w:rPr/>
        <w:t>Возврат обеспечения заявки может быть задержан в случае поступления в установленном законодательством порядке жалобы по закупке (подраздел </w:t>
      </w:r>
      <w:r>
        <w:rPr/>
        <w:fldChar w:fldCharType="begin"/>
      </w:r>
      <w:r>
        <w:rPr/>
        <w:instrText xml:space="preserve"> REF _Ref125363536 \r \h </w:instrText>
      </w:r>
      <w:r>
        <w:rPr/>
        <w:fldChar w:fldCharType="separate"/>
      </w:r>
      <w:r>
        <w:rPr/>
        <w:t>2.3</w:t>
      </w:r>
      <w:r>
        <w:rPr/>
        <w:fldChar w:fldCharType="end"/>
      </w:r>
      <w:r>
        <w:rPr/>
        <w:t>) – на время рассмотрения жалобы.</w:t>
      </w:r>
    </w:p>
    <w:p>
      <w:pPr>
        <w:pStyle w:val="Style22"/>
        <w:rPr/>
      </w:pPr>
      <w:bookmarkStart w:id="233" w:name="_Ref149317181"/>
      <w:bookmarkStart w:id="234" w:name="_Toc228877231"/>
      <w:bookmarkStart w:id="235" w:name="_Ref130225422"/>
      <w:r>
        <w:rPr/>
        <w:t>Особенности проведения многолотовой закупки</w:t>
      </w:r>
      <w:bookmarkEnd w:id="233"/>
      <w:bookmarkEnd w:id="234"/>
      <w:bookmarkEnd w:id="235"/>
    </w:p>
    <w:p>
      <w:pPr>
        <w:pStyle w:val="Style23"/>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проведение многолотовой закупки.</w:t>
      </w:r>
    </w:p>
    <w:p>
      <w:pPr>
        <w:pStyle w:val="Style23"/>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3"/>
        <w:rPr/>
      </w:pPr>
      <w:r>
        <w:rPr/>
        <w:t>Многолотовая закупка может проводиться как для одного, так и для нескольких Заказчиков. Для всех лотов выпускается общее Извещение, Документация о закупке, решения по каждому лоту принимает одна и та же Закупочная комиссия. Любые положения Документации о закупке, если в них прямо не</w:t>
      </w:r>
      <w:r>
        <w:rPr>
          <w:lang w:val="en-US"/>
        </w:rPr>
        <w:t> </w:t>
      </w:r>
      <w:r>
        <w:rPr/>
        <w:t>указан номер конкретного лота, относятся ко всем лотам одновременно.</w:t>
      </w:r>
    </w:p>
    <w:p>
      <w:pPr>
        <w:pStyle w:val="Style23"/>
        <w:rPr/>
      </w:pPr>
      <w:r>
        <w:rPr/>
        <w:t>Участник может подать одну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 В многолотовой закупке подача Участником по одной заявке на каждый лот, не считается подачей второй заявки на закупку.</w:t>
      </w:r>
    </w:p>
    <w:p>
      <w:pPr>
        <w:pStyle w:val="Style23"/>
        <w:keepNext w:val="true"/>
        <w:rPr/>
      </w:pPr>
      <w:r>
        <w:rPr/>
        <w:t>В случае подачи заявки на несколько лотов дополнительно должны быть соблюдены следующие требования:</w:t>
      </w:r>
    </w:p>
    <w:p>
      <w:pPr>
        <w:pStyle w:val="Style24"/>
        <w:rPr/>
      </w:pPr>
      <w:r>
        <w:rPr/>
        <w:t>Письмо о подаче оферты (форма 2) (</w:t>
      </w:r>
      <w:hyperlink w:anchor="Прил04_ФормыЗаявки">
        <w:r>
          <w:rPr>
            <w:rStyle w:val="Style11"/>
          </w:rPr>
          <w:t>Приложение № 4</w:t>
        </w:r>
      </w:hyperlink>
      <w:r>
        <w:rPr/>
        <w:t>) должно содержать указание номера и названия каждого лота;</w:t>
      </w:r>
    </w:p>
    <w:p>
      <w:pPr>
        <w:pStyle w:val="Style24"/>
        <w:rPr/>
      </w:pPr>
      <w:r>
        <w:rPr/>
        <w:t xml:space="preserve">Коммерческое предложение (форма 3), Техническое предложение (форма 4), План распределения объемов поставки продукции (форма 4) – </w:t>
      </w:r>
      <w:hyperlink w:anchor="Прил04_ФормыЗаявки">
        <w:r>
          <w:rPr>
            <w:rStyle w:val="Style11"/>
          </w:rPr>
          <w:t>Приложение № 4</w:t>
        </w:r>
      </w:hyperlink>
      <w:r>
        <w:rPr/>
        <w:t>, должны быть подготовлены отдельно по каждому из лотов с указанием номера и названия лота.</w:t>
      </w:r>
    </w:p>
    <w:p>
      <w:pPr>
        <w:pStyle w:val="Style23"/>
        <w:rPr/>
      </w:pPr>
      <w:r>
        <w:rPr/>
        <w:t>Решения, принимаемые в ходе процедуры закупки, в том числе решения в рамках рассмотрения (первых частей заявок, вторых частей заявок и ценовых предложений), оценки и сопоставления заявок, определения Победителя, признания закупки несостоявшейся, отказа от дальнейшего ее проведения и т.д., осуществляются раздельно и независимо по каждому из лотов. При этом Организатор вправе оформить по каждому лоту отдельный протокол закупки или сформировать общий по всем лотам протокол закупки, в который в отношении каждого лота вносятся сведения, подлежащие официальному размещению.</w:t>
      </w:r>
    </w:p>
    <w:p>
      <w:pPr>
        <w:pStyle w:val="Style21"/>
        <w:rPr/>
      </w:pPr>
      <w:bookmarkStart w:id="236" w:name="_Ref126142429"/>
      <w:bookmarkStart w:id="237" w:name="_Ref130224037"/>
      <w:bookmarkStart w:id="238" w:name="_Toc228877233"/>
      <w:bookmarkStart w:id="239" w:name="_Ref125361212"/>
      <w:bookmarkStart w:id="240" w:name="_Ref125362671"/>
      <w:bookmarkStart w:id="241" w:name="_Ref125363439"/>
      <w:bookmarkStart w:id="242" w:name="_Ref125366769"/>
      <w:bookmarkStart w:id="243" w:name="_Ref125367083"/>
      <w:bookmarkStart w:id="244" w:name="_Ref125367087"/>
      <w:r>
        <w:rPr/>
        <w:t>Порядок заключения Договора</w:t>
      </w:r>
      <w:bookmarkEnd w:id="236"/>
      <w:bookmarkEnd w:id="237"/>
      <w:bookmarkEnd w:id="238"/>
      <w:bookmarkEnd w:id="239"/>
      <w:bookmarkEnd w:id="240"/>
      <w:bookmarkEnd w:id="241"/>
      <w:bookmarkEnd w:id="242"/>
      <w:bookmarkEnd w:id="243"/>
      <w:bookmarkEnd w:id="244"/>
    </w:p>
    <w:p>
      <w:pPr>
        <w:pStyle w:val="Style22"/>
        <w:rPr/>
      </w:pPr>
      <w:bookmarkStart w:id="245" w:name="_Toc228877234"/>
      <w:r>
        <w:rPr/>
        <w:t>Общие положения</w:t>
      </w:r>
      <w:bookmarkEnd w:id="245"/>
    </w:p>
    <w:p>
      <w:pPr>
        <w:pStyle w:val="Style23"/>
        <w:rPr/>
      </w:pPr>
      <w:r>
        <w:rPr/>
        <w:t>Нормы настоящего раздела </w:t>
      </w:r>
      <w:r>
        <w:rPr/>
        <w:fldChar w:fldCharType="begin"/>
      </w:r>
      <w:r>
        <w:rPr/>
        <w:instrText xml:space="preserve"> REF _Ref126142429 \r \h </w:instrText>
      </w:r>
      <w:r>
        <w:rPr/>
        <w:fldChar w:fldCharType="separate"/>
      </w:r>
      <w:r>
        <w:rPr/>
        <w:t>5</w:t>
      </w:r>
      <w:r>
        <w:rPr/>
        <w:fldChar w:fldCharType="end"/>
      </w:r>
      <w:r>
        <w:rPr/>
        <w:t xml:space="preserve"> также применяются в отношении Единственного участника несостоявшейся закупки, с которым принято решение о заключении договора (к нему применяются те же нормы, что и в отношении Победителя).</w:t>
      </w:r>
    </w:p>
    <w:p>
      <w:pPr>
        <w:pStyle w:val="Style22"/>
        <w:rPr/>
      </w:pPr>
      <w:bookmarkStart w:id="246" w:name="_Ref138341423"/>
      <w:bookmarkStart w:id="247" w:name="_Toc228877235"/>
      <w:bookmarkStart w:id="248" w:name="_Ref125366947"/>
      <w:bookmarkStart w:id="249" w:name="_Ref125368755"/>
      <w:r>
        <w:rPr/>
        <w:t>Заключение Договора</w:t>
      </w:r>
      <w:bookmarkEnd w:id="246"/>
      <w:bookmarkEnd w:id="247"/>
      <w:bookmarkEnd w:id="248"/>
      <w:bookmarkEnd w:id="249"/>
    </w:p>
    <w:p>
      <w:pPr>
        <w:pStyle w:val="Style23"/>
        <w:rPr/>
      </w:pPr>
      <w:bookmarkStart w:id="250" w:name="_Ref125362935"/>
      <w:bookmarkStart w:id="251" w:name="_Ref130293821"/>
      <w:r>
        <w:rPr/>
        <w:t>Договор между Заказчиком и Победителем заключается не ранее чем через 10 (десять) календарных дней и не позднее чем через 20 (двадцать) календарных дней с даты официального размещения итогового протокола по результатам закупки.</w:t>
      </w:r>
      <w:bookmarkEnd w:id="250"/>
      <w:bookmarkEnd w:id="251"/>
    </w:p>
    <w:p>
      <w:pPr>
        <w:pStyle w:val="Style23"/>
        <w:rPr/>
      </w:pPr>
      <w:r>
        <w:rPr/>
        <w:t>Договор не может быть заключен, если это запрещено законодательством о национальном режиме.</w:t>
      </w:r>
    </w:p>
    <w:p>
      <w:pPr>
        <w:pStyle w:val="Style23"/>
        <w:rPr/>
      </w:pPr>
      <w:bookmarkStart w:id="252" w:name="_Hlk207813671"/>
      <w:r>
        <w:rPr/>
        <w:t>При осуществлении закупки товара (в том числе поставляемого Заказчику при выполнении работ, оказании услуг) в Договор при его заключении включается информация о стране происхождения товара.</w:t>
      </w:r>
    </w:p>
    <w:p>
      <w:pPr>
        <w:pStyle w:val="Style23"/>
        <w:rPr/>
      </w:pPr>
      <w:bookmarkStart w:id="253" w:name="_Ref125363464"/>
      <w:r>
        <w:rPr/>
        <w:t xml:space="preserve">В целях </w:t>
      </w:r>
      <w:r>
        <w:rPr>
          <w:rFonts w:eastAsia="Calibri" w:cs="Times New Roman"/>
        </w:rPr>
        <w:t>обеспечения дополнительной прозрачности финансово-хозяйственной деятельности сторон при</w:t>
      </w:r>
      <w:r>
        <w:rPr/>
        <w:t xml:space="preserve"> заключения Договора </w:t>
      </w:r>
      <w:r>
        <w:rPr>
          <w:rFonts w:eastAsia="Calibri" w:cs="Times New Roman"/>
        </w:rPr>
        <w:t>в части отсутствия возможного конфликта интересов между Заказчиком и</w:t>
      </w:r>
      <w:r>
        <w:rPr/>
        <w:t xml:space="preserve"> Участником, признанным Победителем, последний обязан направить в адрес Заказчика Справку «Сведения о цепочке собственников, включая бенефициаров (в том числе конечных)», по форме в соответствии с </w:t>
      </w:r>
      <w:hyperlink w:anchor="Прил05_ФормыПобедителя">
        <w:r>
          <w:rPr>
            <w:rStyle w:val="Style11"/>
          </w:rPr>
          <w:t>Приложением № 5</w:t>
        </w:r>
      </w:hyperlink>
      <w:r>
        <w:rPr/>
        <w:t>, с приложением подтверждающих документов согласно перечню, установленному в Приложении 1 к указанной справке, одним из способов (на выбор):</w:t>
      </w:r>
      <w:bookmarkEnd w:id="253"/>
    </w:p>
    <w:p>
      <w:pPr>
        <w:pStyle w:val="Style24"/>
        <w:rPr/>
      </w:pPr>
      <w:r>
        <w:rPr/>
        <w:t>в бумажной форме: по адресу, определенному в подразделе </w:t>
      </w:r>
      <w:r>
        <w:rPr/>
        <w:fldChar w:fldCharType="begin"/>
      </w:r>
      <w:r>
        <w:rPr/>
        <w:instrText xml:space="preserve"> REF _Ref125359973 \r \h </w:instrText>
      </w:r>
      <w:r>
        <w:rPr/>
        <w:fldChar w:fldCharType="separate"/>
      </w:r>
      <w:r>
        <w:rPr/>
        <w:t>1.2</w:t>
      </w:r>
      <w:r>
        <w:rPr/>
        <w:fldChar w:fldCharType="end"/>
      </w:r>
      <w:r>
        <w:rPr/>
        <w:t xml:space="preserve"> как место подачи документов в отношении цепочки собственников, включая конечных бенефициаров (в срок не позднее 3 (трех) рабочих дней с даты официального размещения Организатором итогового протокола по результатам закупки). Требуемые документы должны быть предоставлены в бумажном виде и на электронном носителе в отдельном запечатанном конверте с надписью «Документы Победителя о цепочке собственников»;</w:t>
      </w:r>
    </w:p>
    <w:p>
      <w:pPr>
        <w:pStyle w:val="Style24"/>
        <w:rPr/>
      </w:pPr>
      <w:r>
        <w:rPr/>
        <w:t xml:space="preserve">в электронной форме: через специально созданную на корпоративном сайте ПАО «РусГидро» учетную запись Победителя </w:t>
      </w:r>
      <w:r>
        <w:rPr>
          <w:rFonts w:eastAsia="Calibri" w:cs="Times New Roman"/>
        </w:rPr>
        <w:t>в «Личном кабинете контрагента»</w:t>
      </w:r>
      <w:r>
        <w:rPr/>
        <w:t xml:space="preserve"> (в срок не позднее 3 (трех) рабочих дней с даты получения уведомления о необходимости предоставить информацию о </w:t>
      </w:r>
      <w:r>
        <w:rPr>
          <w:rFonts w:eastAsia="Calibri" w:cs="Times New Roman"/>
        </w:rPr>
        <w:t>цепочке собственников, включая бенефициаров (в том числе конечных)</w:t>
      </w:r>
      <w:r>
        <w:rPr/>
        <w:t>. Уведомление (со ссылкой на учетную запись) направляется на указанный в заявке Победителя (в Анкете Участника (форма 5) (</w:t>
      </w:r>
      <w:hyperlink w:anchor="Прил04_ФормыЗаявки">
        <w:r>
          <w:rPr>
            <w:rStyle w:val="Style11"/>
          </w:rPr>
          <w:t>Приложения № 4</w:t>
        </w:r>
      </w:hyperlink>
      <w:r>
        <w:rPr/>
        <w:t>)) адрес электронной почты ответственного лица)</w:t>
      </w:r>
      <w:bookmarkEnd w:id="252"/>
      <w:r>
        <w:rPr/>
        <w:t>.</w:t>
      </w:r>
    </w:p>
    <w:p>
      <w:pPr>
        <w:pStyle w:val="Style23"/>
        <w:rPr/>
      </w:pPr>
      <w:r>
        <w:rPr/>
        <w:t xml:space="preserve">В срок не позднее 3 (трех) рабочих дней с даты официального размещения Организатором итогового протокола по результатам закупки, Победитель обязан предоставить Заказчику (скан-копия в формате </w:t>
      </w:r>
      <w:bookmarkStart w:id="254" w:name="_Hlk207813750"/>
      <w:r>
        <w:rPr/>
        <w:t>Portable Document Format (</w:t>
      </w:r>
      <w:r>
        <w:rPr>
          <w:lang w:val="en-US"/>
        </w:rPr>
        <w:t>pdf</w:t>
      </w:r>
      <w:r>
        <w:rPr/>
        <w:t>)</w:t>
      </w:r>
      <w:bookmarkEnd w:id="254"/>
      <w:r>
        <w:rPr/>
        <w:t xml:space="preserve">)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Style11"/>
          </w:rPr>
          <w:t>Приложением № 5</w:t>
        </w:r>
      </w:hyperlink>
      <w:r>
        <w:rPr/>
        <w:t>.</w:t>
      </w:r>
    </w:p>
    <w:p>
      <w:pPr>
        <w:pStyle w:val="Style23"/>
        <w:keepNext w:val="true"/>
        <w:rPr/>
      </w:pPr>
      <w:bookmarkStart w:id="255" w:name="_Ref125551072"/>
      <w:r>
        <w:rPr/>
        <w:t>Перед заключением Договора Победитель обязан предоставить Заказчику, не позднее сроков, установленных в пункте </w:t>
      </w:r>
      <w:r>
        <w:rPr/>
        <w:fldChar w:fldCharType="begin"/>
      </w:r>
      <w:r>
        <w:rPr/>
        <w:instrText xml:space="preserve"> REF _Ref130293821 \w \h </w:instrText>
      </w:r>
      <w:r>
        <w:rPr/>
        <w:fldChar w:fldCharType="separate"/>
      </w:r>
      <w:r>
        <w:rPr/>
        <w:t>5.2.1</w:t>
      </w:r>
      <w:r>
        <w:rPr/>
        <w:fldChar w:fldCharType="end"/>
      </w:r>
      <w:r>
        <w:rPr/>
        <w:t>, в целях подтверждения своего соответствия обязательному требованию к Участникам, указанному в пункте </w:t>
      </w:r>
      <w:r>
        <w:rPr/>
        <w:fldChar w:fldCharType="begin"/>
      </w:r>
      <w:r>
        <w:rPr/>
        <w:instrText xml:space="preserve"> REF _Ref125552433 \w \h </w:instrText>
      </w:r>
      <w:r>
        <w:rPr/>
        <w:fldChar w:fldCharType="separate"/>
      </w:r>
      <w:r>
        <w:rPr/>
        <w:t>1</w:t>
      </w:r>
      <w:r>
        <w:rPr/>
        <w:fldChar w:fldCharType="end"/>
      </w:r>
      <w:r>
        <w:rPr/>
        <w:t xml:space="preserve"> подраздела </w:t>
      </w:r>
      <w:r>
        <w:rPr/>
        <w:fldChar w:fldCharType="begin"/>
      </w:r>
      <w:r>
        <w:rPr/>
        <w:instrText xml:space="preserve"> REF _Ref125361435 \w \h </w:instrText>
      </w:r>
      <w:r>
        <w:rPr/>
        <w:fldChar w:fldCharType="separate"/>
      </w:r>
      <w:r>
        <w:rPr/>
        <w:t>8.2</w:t>
      </w:r>
      <w:r>
        <w:rPr/>
        <w:fldChar w:fldCharType="end"/>
      </w:r>
      <w:r>
        <w:rPr/>
        <w:t xml:space="preserve"> (</w:t>
      </w:r>
      <w:hyperlink w:anchor="Прил03_ТребованияУчастникам">
        <w:r>
          <w:rPr>
            <w:rStyle w:val="Style11"/>
          </w:rPr>
          <w:t>Приложение № 3</w:t>
        </w:r>
      </w:hyperlink>
      <w:r>
        <w:rPr/>
        <w:t>), следующие документы (скан-копии в формате Portable Document Format (</w:t>
      </w:r>
      <w:r>
        <w:rPr>
          <w:lang w:val="en-US"/>
        </w:rPr>
        <w:t>pdf</w:t>
      </w:r>
      <w:r>
        <w:rPr/>
        <w:t>)):</w:t>
      </w:r>
      <w:bookmarkEnd w:id="255"/>
    </w:p>
    <w:p>
      <w:pPr>
        <w:pStyle w:val="Style24"/>
        <w:keepNext w:val="true"/>
        <w:rPr/>
      </w:pPr>
      <w:r>
        <w:rPr/>
        <w:t>для юридического лица:</w:t>
      </w:r>
    </w:p>
    <w:p>
      <w:pPr>
        <w:pStyle w:val="Style25"/>
        <w:rPr/>
      </w:pPr>
      <w:r>
        <w:rPr/>
        <w:t>копия устава в действующей редакции с отметкой ИФНС либо копия нотариально заверенного устава (с отметкой нотариуса);</w:t>
      </w:r>
    </w:p>
    <w:p>
      <w:pPr>
        <w:pStyle w:val="Style25"/>
        <w:rPr/>
      </w:pPr>
      <w:bookmarkStart w:id="256" w:name="_Ref125638686"/>
      <w:r>
        <w:rPr/>
        <w:t>копии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 передаче полномочий Управляющей компании), заверенные Победителем;</w:t>
      </w:r>
      <w:bookmarkEnd w:id="256"/>
    </w:p>
    <w:p>
      <w:pPr>
        <w:pStyle w:val="Style25"/>
        <w:rPr/>
      </w:pPr>
      <w:r>
        <w:rPr/>
        <w:t>дополнительно предоставляется машиночитаемая доверенность (посредством информационных систем, на которых проводится закупка) на физическое лицо, которое подписывает договор;</w:t>
      </w:r>
    </w:p>
    <w:p>
      <w:pPr>
        <w:pStyle w:val="Style24"/>
        <w:rPr/>
      </w:pPr>
      <w:r>
        <w:rPr/>
        <w:t>для лица, зарегистрированного вне Российской Федерации: выписка из торгового реестра страны регистрации иностранного Участника;</w:t>
      </w:r>
    </w:p>
    <w:p>
      <w:pPr>
        <w:pStyle w:val="Style24"/>
        <w:rPr/>
      </w:pPr>
      <w:r>
        <w:rPr/>
        <w:t>для физического лица: нотариально заверенная копия всех страниц документа, удостоверяющего личность (паспорта).</w:t>
      </w:r>
    </w:p>
    <w:p>
      <w:pPr>
        <w:pStyle w:val="Style23"/>
        <w:rPr/>
      </w:pPr>
      <w:r>
        <w:rPr/>
        <w:t>Если в соответствии с законодательством и уставом Заказчика потребуется предварительное одобрение заключаемого на 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 (пять) календарных дней с даты указанного одобрения.</w:t>
      </w:r>
    </w:p>
    <w:p>
      <w:pPr>
        <w:pStyle w:val="Style23"/>
        <w:rPr/>
      </w:pPr>
      <w:r>
        <w:rPr/>
        <w:t>В случае обжалования в антимонопольном органе результатов закупки Договор заключается не позднее чем через 5 (пять) календарных дней с даты вынесения решения антимонопольного органа по результатам такого обжалования (за исключением случая возврата на предыдущий этап закупки).</w:t>
      </w:r>
    </w:p>
    <w:p>
      <w:pPr>
        <w:pStyle w:val="Style23"/>
        <w:keepNext w:val="true"/>
        <w:rPr/>
      </w:pPr>
      <w:bookmarkStart w:id="257" w:name="_Ref132288402"/>
      <w:r>
        <w:rPr/>
        <w:t>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57"/>
    </w:p>
    <w:p>
      <w:pPr>
        <w:pStyle w:val="Style24"/>
        <w:rPr/>
      </w:pPr>
      <w:r>
        <w:rPr/>
        <w:t>итоговый протокол по результатам закупки;</w:t>
      </w:r>
    </w:p>
    <w:p>
      <w:pPr>
        <w:pStyle w:val="Style24"/>
        <w:rPr/>
      </w:pPr>
      <w:r>
        <w:rPr/>
        <w:t>Извещение и Документация о закупке со всеми изменениями;</w:t>
      </w:r>
    </w:p>
    <w:p>
      <w:pPr>
        <w:pStyle w:val="Style24"/>
        <w:rPr/>
      </w:pPr>
      <w:r>
        <w:rPr/>
        <w:t>заявка Победителя со всеми дополнениями и разъяснениями.</w:t>
      </w:r>
    </w:p>
    <w:p>
      <w:pPr>
        <w:pStyle w:val="Style23"/>
        <w:rPr/>
      </w:pPr>
      <w:r>
        <w:rPr/>
        <w:t>Договор согласовывается и заключается с использованием функционала ЭП, в том числе подписывается усиленной квалифицированной электронной подписью уполномоченного лица Победителя и Заказчика соответственно.</w:t>
      </w:r>
    </w:p>
    <w:p>
      <w:pPr>
        <w:pStyle w:val="Style23"/>
        <w:rPr/>
      </w:pPr>
      <w:r>
        <w:rPr/>
        <w:t>В течение установленного в пункте </w:t>
      </w:r>
      <w:r>
        <w:rPr/>
        <w:fldChar w:fldCharType="begin"/>
      </w:r>
      <w:r>
        <w:rPr/>
        <w:instrText xml:space="preserve"> REF _Ref130293821 \r \h </w:instrText>
      </w:r>
      <w:r>
        <w:rPr/>
        <w:fldChar w:fldCharType="separate"/>
      </w:r>
      <w:r>
        <w:rPr/>
        <w:t>5.2.1</w:t>
      </w:r>
      <w:r>
        <w:rPr/>
        <w:fldChar w:fldCharType="end"/>
      </w:r>
      <w:r>
        <w:rPr/>
        <w:t xml:space="preserve"> срока Заказчик с использованием функционала ЭП направляет в адрес Победителя заполненный со своей стороны проект Договора.</w:t>
      </w:r>
    </w:p>
    <w:p>
      <w:pPr>
        <w:pStyle w:val="Style23"/>
        <w:rPr/>
      </w:pPr>
      <w:bookmarkStart w:id="258" w:name="_Ref49437111"/>
      <w:r>
        <w:rPr/>
        <w:t>В случае наличия у Победителя разногласий по направленному Заказчиком проекту Договора, Победитель составляет Протокол разногласий с указанием в нем своих замечаний к положениям проекта Договора, не соответствующим условиям настоящей Документации о закупке и (или) заявке Победителя (с приведением ссылок на конкретные пункты / положения данных документов, которым они не соответствуют). Протокол разногласий направляется Заказчику с использованием функционала ЭП. После рассмотрения указанного протокола разногласий Заказчик вправе направить Победителю доработанный проект Договора либо повторно направить исходный проект Договора с указанием в отдельном документе причин отказа учесть полностью или частично замечания, содержащиеся в протоколе разногласий Победителя.</w:t>
      </w:r>
      <w:bookmarkEnd w:id="258"/>
    </w:p>
    <w:p>
      <w:pPr>
        <w:pStyle w:val="Style23"/>
        <w:rPr/>
      </w:pPr>
      <w:bookmarkStart w:id="259" w:name="_Ref125368506"/>
      <w:r>
        <w:rPr/>
        <w:t xml:space="preserve">Сведения о заключенном Договоре в течение 3 (трех) рабочих дней со дня заключения такого Договора на ЭП вносятся Оператором ЭП в Реестр договоров в ЕИС (если размещение таких сведений допустимо Законом 223-ФЗ). Если при заключении и исполнении Договора изменятся количество, объем, цена закупаемой продукции или сроки исполнения Договора (по сравнению с указанными в итоговом протоколе по результатам закупки), то в течение 10 (десяти) календарных дней со дня внесения таких изменений в Договор </w:t>
      </w:r>
      <w:bookmarkStart w:id="260" w:name="_Hlk132806825"/>
      <w:r>
        <w:rPr/>
        <w:t>соответствующая информация с указанием измененных условий Договора также размещается в ЕИС (если размещение таких сведений допустимо Законом 223-ФЗ)</w:t>
      </w:r>
      <w:bookmarkEnd w:id="260"/>
      <w:r>
        <w:rPr/>
        <w:t>.</w:t>
      </w:r>
      <w:bookmarkEnd w:id="259"/>
    </w:p>
    <w:p>
      <w:pPr>
        <w:pStyle w:val="Style23"/>
        <w:rPr/>
      </w:pPr>
      <w:r>
        <w:rPr/>
        <w:t>Если до момента заключения с Договора в отношении Победителя была проведена повторная проверка в рамках мониторинга аккредитованных поставщиков (в соответствии с Положением об аккредитации), и по результатам такой проверки ему присвоен статус «не аккредитован»,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 (при наличии у него статуса «аккредитован» / «аккредитация не требуется»).</w:t>
      </w:r>
    </w:p>
    <w:p>
      <w:pPr>
        <w:pStyle w:val="Style22"/>
        <w:rPr/>
      </w:pPr>
      <w:bookmarkStart w:id="261" w:name="_Ref125367068"/>
      <w:bookmarkStart w:id="262" w:name="_Toc228877236"/>
      <w:r>
        <w:rPr/>
        <w:t>Уклонение Победителя от заключения Договора</w:t>
      </w:r>
      <w:bookmarkEnd w:id="261"/>
      <w:bookmarkEnd w:id="262"/>
    </w:p>
    <w:p>
      <w:pPr>
        <w:pStyle w:val="Style23"/>
        <w:keepNext w:val="true"/>
        <w:rPr/>
      </w:pPr>
      <w:r>
        <w:rPr/>
        <w:t>Если Победитель закупки:</w:t>
      </w:r>
    </w:p>
    <w:p>
      <w:pPr>
        <w:pStyle w:val="Style24"/>
        <w:rPr/>
      </w:pPr>
      <w:r>
        <w:rPr/>
        <w:t>не подпишет Договор в установленные Документацией о закупке сроки (пункт </w:t>
      </w:r>
      <w:r>
        <w:rPr/>
        <w:fldChar w:fldCharType="begin"/>
      </w:r>
      <w:r>
        <w:rPr/>
        <w:instrText xml:space="preserve"> REF _Ref130293821 \r \h </w:instrText>
      </w:r>
      <w:r>
        <w:rPr/>
        <w:fldChar w:fldCharType="separate"/>
      </w:r>
      <w:r>
        <w:rPr/>
        <w:t>5.2.1</w:t>
      </w:r>
      <w:r>
        <w:rPr/>
        <w:fldChar w:fldCharType="end"/>
      </w:r>
      <w:r>
        <w:rPr/>
        <w:t>);</w:t>
      </w:r>
    </w:p>
    <w:p>
      <w:pPr>
        <w:pStyle w:val="Style24"/>
        <w:rPr/>
      </w:pPr>
      <w:r>
        <w:rPr/>
        <w:t>откажется от подписания Договора на условиях, определяемых в соответствии с пунктом </w:t>
      </w:r>
      <w:r>
        <w:rPr/>
        <w:fldChar w:fldCharType="begin"/>
      </w:r>
      <w:r>
        <w:rPr/>
        <w:instrText xml:space="preserve"> REF _Ref132288402 \r \h </w:instrText>
      </w:r>
      <w:r>
        <w:rPr/>
        <w:fldChar w:fldCharType="separate"/>
      </w:r>
      <w:r>
        <w:rPr/>
        <w:t>5.2.9</w:t>
      </w:r>
      <w:r>
        <w:rPr/>
        <w:fldChar w:fldCharType="end"/>
      </w:r>
      <w:r>
        <w:rPr/>
        <w:t>;</w:t>
      </w:r>
    </w:p>
    <w:p>
      <w:pPr>
        <w:pStyle w:val="Style24"/>
        <w:rPr/>
      </w:pPr>
      <w:r>
        <w:rPr/>
        <w:t>не раскроет информацию в отношении всей цепочки собственников, включая бенефициаров (в том числе конечных), по установленной форме (</w:t>
      </w:r>
      <w:hyperlink w:anchor="Прил05_ФормыПобедителя">
        <w:r>
          <w:rPr>
            <w:rStyle w:val="Style11"/>
          </w:rPr>
          <w:t>Приложение № 5</w:t>
        </w:r>
      </w:hyperlink>
      <w:r>
        <w:rPr/>
        <w:t>), с приложением подтверждающих документов;</w:t>
      </w:r>
    </w:p>
    <w:p>
      <w:pPr>
        <w:pStyle w:val="Style24"/>
        <w:rPr/>
      </w:pPr>
      <w:r>
        <w:rPr/>
        <w:t xml:space="preserve">не предоставит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Style11"/>
          </w:rPr>
          <w:t>Приложением № 5</w:t>
        </w:r>
      </w:hyperlink>
      <w:r>
        <w:rPr/>
        <w:t>;</w:t>
      </w:r>
    </w:p>
    <w:p>
      <w:pPr>
        <w:pStyle w:val="Style24"/>
        <w:rPr/>
      </w:pPr>
      <w:r>
        <w:rPr/>
        <w:t xml:space="preserve">не предоставит копии документов, обязательных к предоставлению Победителем закупки в соответствии с требованиями </w:t>
      </w:r>
      <w:hyperlink w:anchor="Прил01_ТехТребования">
        <w:r>
          <w:rPr>
            <w:rStyle w:val="Style11"/>
          </w:rPr>
          <w:t>Приложения № 1 – Технические требования</w:t>
        </w:r>
      </w:hyperlink>
      <w:r>
        <w:rPr/>
        <w:t xml:space="preserve"> (в случае установления таковых);</w:t>
      </w:r>
    </w:p>
    <w:p>
      <w:pPr>
        <w:pStyle w:val="Style24"/>
        <w:rPr/>
      </w:pPr>
      <w:r>
        <w:rPr/>
        <w:t>не предоставит обеспечение исполнения договора до момента его заключения, если Документация о закупке предусматривает обеспечение исполнения договора с соответствующими обязательствами;</w:t>
      </w:r>
    </w:p>
    <w:p>
      <w:pPr>
        <w:pStyle w:val="Style24"/>
        <w:rPr/>
      </w:pPr>
      <w:r>
        <w:rPr/>
        <w:t>не выполнит другие условия, прямо предусмотренные Документацией о закупке,</w:t>
      </w:r>
    </w:p>
    <w:p>
      <w:pPr>
        <w:pStyle w:val="Style27"/>
        <w:ind w:left="1134" w:hanging="0"/>
        <w:rPr/>
      </w:pPr>
      <w:r>
        <w:rPr/>
        <w:t>то он (по истечению установленных в подразделе </w:t>
      </w:r>
      <w:r>
        <w:rPr/>
        <w:fldChar w:fldCharType="begin"/>
      </w:r>
      <w:r>
        <w:rPr/>
        <w:instrText xml:space="preserve"> REF _Ref138341423 \r \h </w:instrText>
      </w:r>
      <w:r>
        <w:rPr/>
        <w:fldChar w:fldCharType="separate"/>
      </w:r>
      <w:r>
        <w:rPr/>
        <w:t>5.2</w:t>
      </w:r>
      <w:r>
        <w:rPr/>
        <w:fldChar w:fldCharType="end"/>
      </w:r>
      <w:r>
        <w:rPr/>
        <w:t xml:space="preserve"> сроков на заключение Договора) признается уклонившимся от заключения Договора и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p>
      <w:pPr>
        <w:pStyle w:val="Style21"/>
        <w:rPr/>
      </w:pPr>
      <w:bookmarkStart w:id="263" w:name="_Ref125363016"/>
      <w:bookmarkStart w:id="264" w:name="_Ref125363023"/>
      <w:bookmarkStart w:id="265" w:name="_Ref125363034"/>
      <w:bookmarkStart w:id="266" w:name="_Ref125363600"/>
      <w:bookmarkStart w:id="267" w:name="_Ref125363752"/>
      <w:bookmarkStart w:id="268" w:name="_Ref125364088"/>
      <w:bookmarkStart w:id="269" w:name="_Ref125364201"/>
      <w:bookmarkStart w:id="270" w:name="_Ref125370732"/>
      <w:bookmarkStart w:id="271" w:name="_Ref125370741"/>
      <w:bookmarkStart w:id="272" w:name="_Ref125370746"/>
      <w:bookmarkStart w:id="273" w:name="_Ref125370750"/>
      <w:bookmarkStart w:id="274" w:name="_Ref125370843"/>
      <w:bookmarkStart w:id="275" w:name="Прил01_ТехТребования"/>
      <w:bookmarkStart w:id="276" w:name="_Toc228877237"/>
      <w:r>
        <w:rPr/>
        <w:t>Приложение № 1 – Технические требования</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pPr>
        <w:pStyle w:val="Style22"/>
        <w:rPr/>
      </w:pPr>
      <w:bookmarkStart w:id="277" w:name="_Toc228877238"/>
      <w:r>
        <w:rPr/>
        <w:t>Пояснения к Техническим требованиям</w:t>
      </w:r>
      <w:bookmarkEnd w:id="277"/>
    </w:p>
    <w:p>
      <w:pPr>
        <w:pStyle w:val="Style23"/>
        <w:rPr/>
      </w:pPr>
      <w:r>
        <w:rPr/>
        <w:t>Технические требования к закупаемой продукции приведены в отдельном файле (предоставляются отдельным документом в составе Документации о закупке), являющимся Приложением № 1 к Документации о закупке.</w:t>
      </w:r>
    </w:p>
    <w:p>
      <w:pPr>
        <w:pStyle w:val="Style21"/>
        <w:rPr/>
      </w:pPr>
      <w:bookmarkStart w:id="278" w:name="_Ref125361746"/>
      <w:bookmarkStart w:id="279" w:name="_Ref125363040"/>
      <w:bookmarkStart w:id="280" w:name="_Ref125363605"/>
      <w:bookmarkStart w:id="281" w:name="_Ref125363759"/>
      <w:bookmarkStart w:id="282" w:name="_Ref125364081"/>
      <w:bookmarkStart w:id="283" w:name="_Ref125364206"/>
      <w:bookmarkStart w:id="284" w:name="_Ref125370754"/>
      <w:bookmarkStart w:id="285" w:name="Прил02_ПроектДоговора"/>
      <w:bookmarkStart w:id="286" w:name="_Toc228877239"/>
      <w:r>
        <w:rPr/>
        <w:t>Приложение № 2 – Проект договора</w:t>
      </w:r>
      <w:bookmarkEnd w:id="278"/>
      <w:bookmarkEnd w:id="279"/>
      <w:bookmarkEnd w:id="280"/>
      <w:bookmarkEnd w:id="281"/>
      <w:bookmarkEnd w:id="282"/>
      <w:bookmarkEnd w:id="283"/>
      <w:bookmarkEnd w:id="284"/>
      <w:bookmarkEnd w:id="285"/>
      <w:bookmarkEnd w:id="286"/>
    </w:p>
    <w:p>
      <w:pPr>
        <w:pStyle w:val="Style22"/>
        <w:rPr/>
      </w:pPr>
      <w:bookmarkStart w:id="287" w:name="_Toc228877240"/>
      <w:r>
        <w:rPr/>
        <w:t>Пояснения к Проекту договора</w:t>
      </w:r>
      <w:bookmarkEnd w:id="287"/>
    </w:p>
    <w:p>
      <w:pPr>
        <w:pStyle w:val="Style23"/>
        <w:rPr/>
      </w:pPr>
      <w:r>
        <w:rPr/>
        <w:t>Проект договора, заключаемого по результатам закупки, приведен в отдельном файле (предоставляется отдельным документом в составе Документации о закупке), являющимся Приложением № 2 к Документации о закупке.</w:t>
      </w:r>
    </w:p>
    <w:p>
      <w:pPr>
        <w:pStyle w:val="Style23"/>
        <w:rPr/>
      </w:pPr>
      <w:r>
        <w:rPr/>
        <w:t>Все положения Проекта договора являются существенными условиями для Заказчика, за исключением пунктов договора, указанных в подразделе </w:t>
      </w:r>
      <w:r>
        <w:rPr/>
        <w:fldChar w:fldCharType="begin"/>
      </w:r>
      <w:r>
        <w:rPr/>
        <w:instrText xml:space="preserve"> REF _Ref132876309 \r \h </w:instrText>
      </w:r>
      <w:r>
        <w:rPr/>
        <w:fldChar w:fldCharType="separate"/>
      </w:r>
      <w:r>
        <w:rPr/>
        <w:t>1.2</w:t>
      </w:r>
      <w:r>
        <w:rPr/>
        <w:fldChar w:fldCharType="end"/>
      </w:r>
      <w:r>
        <w:rPr/>
        <w:t xml:space="preserve"> как «Некритичные пункты Проекта договора».</w:t>
      </w:r>
    </w:p>
    <w:p>
      <w:pPr>
        <w:pStyle w:val="Style23"/>
        <w:rPr/>
      </w:pPr>
      <w:r>
        <w:rPr/>
        <w:t>В соответствии с пунктом </w:t>
      </w:r>
      <w:r>
        <w:rPr/>
        <w:fldChar w:fldCharType="begin"/>
      </w:r>
      <w:r>
        <w:rPr/>
        <w:instrText xml:space="preserve"> REF _Ref49437111 \r \h </w:instrText>
      </w:r>
      <w:r>
        <w:rPr/>
        <w:fldChar w:fldCharType="separate"/>
      </w:r>
      <w:r>
        <w:rPr/>
        <w:t>5.2.12</w:t>
      </w:r>
      <w:r>
        <w:rPr/>
        <w:fldChar w:fldCharType="end"/>
      </w:r>
      <w:r>
        <w:rPr/>
        <w:t xml:space="preserve">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Если Стороны не придут к соглашению об этих изменениях, они будут обязаны подписать Договор на условиях, изложенных в Документации о закупке.</w:t>
      </w:r>
    </w:p>
    <w:p>
      <w:pPr>
        <w:pStyle w:val="Style23"/>
        <w:rPr/>
      </w:pPr>
      <w:r>
        <w:rPr/>
        <w:t>Одновременно с подписанием Сторонами Договора или не позднее 3 (трех) рабочих дней после подписания Договора, Сторонами должно быть подписано дополнительное соглашение, форма которого приведена в отдельном файле в формате Microsoft Word (предоставляется отдельным документом в составе Документации о закупке), касающееся вопросов подтверждения Участником информации о цепочке собственников, включая бенефициаров (в том числе конечных):</w:t>
      </w:r>
      <w:bookmarkStart w:id="288" w:name="_MON_1736255517"/>
    </w:p>
    <w:p>
      <w:pPr>
        <w:sectPr>
          <w:headerReference w:type="default" r:id="rId10"/>
          <w:headerReference w:type="first" r:id="rId11"/>
          <w:footerReference w:type="default" r:id="rId12"/>
          <w:footerReference w:type="first" r:id="rId13"/>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7"/>
        <w:jc w:val="center"/>
        <w:rPr/>
      </w:pPr>
      <w:bookmarkEnd w:id="288"/>
      <w:r>
        <w:rPr/>
        <w:object>
          <v:shapetype id="_x0000_tole_rId8" coordsize="21600,21600" o:spt="ole_rId8"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8" type="_x0000_tole_rId8" style="width:80.25pt;height:51.8pt;mso-wrap-distance-right:0pt" filled="f" o:ole="">
            <v:imagedata r:id="rId9" o:title=""/>
          </v:shape>
          <o:OLEObject Type="Embed" ProgID="Word.Document.12" ShapeID="ole_rId8" DrawAspect="Icon" ObjectID="_479028527" r:id="rId8"/>
        </w:object>
      </w:r>
    </w:p>
    <w:p>
      <w:pPr>
        <w:pStyle w:val="Style21"/>
        <w:rPr/>
      </w:pPr>
      <w:bookmarkStart w:id="289" w:name="_Ref125361494"/>
      <w:bookmarkStart w:id="290" w:name="_Ref125361908"/>
      <w:bookmarkStart w:id="291" w:name="_Ref125365476"/>
      <w:bookmarkStart w:id="292" w:name="_Ref125370013"/>
      <w:bookmarkStart w:id="293" w:name="Прил03_ТребованияУчастникам"/>
      <w:bookmarkStart w:id="294" w:name="_Toc228877241"/>
      <w:r>
        <w:rPr/>
        <w:t>Приложение № 3 – Требования к Участникам</w:t>
      </w:r>
      <w:bookmarkEnd w:id="289"/>
      <w:bookmarkEnd w:id="290"/>
      <w:bookmarkEnd w:id="291"/>
      <w:bookmarkEnd w:id="292"/>
      <w:bookmarkEnd w:id="293"/>
      <w:bookmarkEnd w:id="294"/>
    </w:p>
    <w:p>
      <w:pPr>
        <w:pStyle w:val="Style22"/>
        <w:rPr/>
      </w:pPr>
      <w:bookmarkStart w:id="295" w:name="_Toc228877242"/>
      <w:r>
        <w:rPr/>
        <w:t>Пояснения к требованиям к Участникам</w:t>
      </w:r>
      <w:bookmarkEnd w:id="295"/>
    </w:p>
    <w:p>
      <w:pPr>
        <w:pStyle w:val="Style23"/>
        <w:rPr/>
      </w:pPr>
      <w:bookmarkStart w:id="296" w:name="_Hlk125628168"/>
      <w:r>
        <w:rPr/>
        <w:t>Чтобы претендовать на победу в закупке и получение права заключить Договор с Заказчиком, Участник должен отвечать нижеуказанным требованиям и включить в состав заявки документы, подтверждающие его соответствие установленным требованиям.</w:t>
      </w:r>
      <w:bookmarkEnd w:id="296"/>
    </w:p>
    <w:p>
      <w:pPr>
        <w:pStyle w:val="Style22"/>
        <w:spacing w:before="360" w:after="120"/>
        <w:rPr/>
      </w:pPr>
      <w:bookmarkStart w:id="297" w:name="_Ref125361435"/>
      <w:bookmarkStart w:id="298" w:name="_Ref125361590"/>
      <w:bookmarkStart w:id="299" w:name="_Ref125361617"/>
      <w:bookmarkStart w:id="300" w:name="_Ref125361832"/>
      <w:bookmarkStart w:id="301" w:name="_Ref125361846"/>
      <w:bookmarkStart w:id="302" w:name="_Ref125361926"/>
      <w:bookmarkStart w:id="303" w:name="_Ref125366879"/>
      <w:bookmarkStart w:id="304" w:name="_Ref125368812"/>
      <w:bookmarkStart w:id="305" w:name="_Ref125368895"/>
      <w:bookmarkStart w:id="306" w:name="_Ref125369088"/>
      <w:bookmarkStart w:id="307" w:name="_Ref125370058"/>
      <w:bookmarkStart w:id="308" w:name="_Ref125370064"/>
      <w:bookmarkStart w:id="309" w:name="_Ref125370071"/>
      <w:bookmarkStart w:id="310" w:name="_Toc228877243"/>
      <w:r>
        <w:rPr/>
        <w:t>Обязательные требования</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tbl>
      <w:tblPr>
        <w:tblStyle w:val="af9"/>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27"/>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27"/>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Участнику</w:t>
            </w:r>
          </w:p>
        </w:tc>
        <w:tc>
          <w:tcPr>
            <w:tcW w:w="8327" w:type="dxa"/>
            <w:tcBorders/>
          </w:tcPr>
          <w:p>
            <w:pPr>
              <w:pStyle w:val="Style27"/>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27"/>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11" w:name="_Ref125552433"/>
            <w:bookmarkStart w:id="312" w:name="_Ref125552433"/>
            <w:bookmarkEnd w:id="312"/>
          </w:p>
        </w:tc>
        <w:tc>
          <w:tcPr>
            <w:tcW w:w="5671"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 должен обладать гражданской правоспособностью в полном объеме для заключения и исполнения Договора, а также должен обладать статусом «аккредитован» в соответствии с Положением об аккредитации, либо являться лицом, указанным в пункте 3.11 Положения об аккредитации:</w:t>
            </w:r>
          </w:p>
        </w:tc>
        <w:tc>
          <w:tcPr>
            <w:tcW w:w="8327" w:type="dxa"/>
            <w:tcBorders/>
          </w:tcPr>
          <w:p>
            <w:pPr>
              <w:pStyle w:val="Style27"/>
              <w:widowControl w:val="false"/>
              <w:numPr>
                <w:ilvl w:val="0"/>
                <w:numId w:val="13"/>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отношении гражданской правоспособности:</w:t>
            </w:r>
          </w:p>
          <w:p>
            <w:pPr>
              <w:pStyle w:val="Style27"/>
              <w:widowControl w:val="false"/>
              <w:numPr>
                <w:ilvl w:val="0"/>
                <w:numId w:val="14"/>
              </w:numPr>
              <w:suppressAutoHyphens w:val="true"/>
              <w:spacing w:before="60" w:after="60"/>
              <w:ind w:left="568"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заявка подписывается лицом, действующим на основании доверенности, предоставляется электронный образ (файл в формате Portable Document Format (*.pdf)) оригинала соответствующей доверенности либо ее нотариально заверенной копии (с указанием правомочий на подписание заявки);</w:t>
            </w:r>
          </w:p>
          <w:p>
            <w:pPr>
              <w:pStyle w:val="Style27"/>
              <w:widowControl w:val="false"/>
              <w:numPr>
                <w:ilvl w:val="0"/>
                <w:numId w:val="13"/>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отношении аккредитации:</w:t>
            </w:r>
          </w:p>
          <w:p>
            <w:pPr>
              <w:pStyle w:val="Style27"/>
              <w:widowControl w:val="false"/>
              <w:numPr>
                <w:ilvl w:val="0"/>
                <w:numId w:val="14"/>
              </w:numPr>
              <w:suppressAutoHyphens w:val="true"/>
              <w:spacing w:before="60" w:after="60"/>
              <w:ind w:left="568" w:hanging="284"/>
              <w:rPr/>
            </w:pPr>
            <w:r>
              <w:rPr>
                <w:rFonts w:eastAsia="Calibri" w:cs=""/>
                <w:kern w:val="0"/>
                <w:sz w:val="26"/>
                <w:szCs w:val="22"/>
                <w:lang w:val="ru-RU" w:eastAsia="en-US" w:bidi="ar-SA"/>
              </w:rPr>
              <w:t>при наличии у Участника на момент подачи заявки статуса «аккредитован» (по результатам ранее пройденной процедуры аккредитации) / статуса «аккредитация не требуется» (в соответствии с ранее направленными сведениями для включения записи в Реестр аккредитации), и при наличии (с момента подачи Заявки на аккредитацию) изменений, оказывающих влияние на соответствие его критериям аккредитации (на текущий статус), а 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 аккредитацию – декларация в составе Письма о подаче оферты (форма 2)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и обновленная Заявка на аккредитацию по установленной в Документации о закупке форме (</w:t>
            </w:r>
            <w:hyperlink w:anchor="Прил10_ФормаЗаявкиНаАккредитацию">
              <w:r>
                <w:rPr>
                  <w:rStyle w:val="Style11"/>
                  <w:rFonts w:eastAsia="Calibri" w:cs=""/>
                  <w:kern w:val="0"/>
                  <w:sz w:val="26"/>
                  <w:szCs w:val="22"/>
                  <w:lang w:val="ru-RU" w:eastAsia="en-US" w:bidi="ar-SA"/>
                </w:rPr>
                <w:t>Приложение № 10</w:t>
              </w:r>
            </w:hyperlink>
            <w:r>
              <w:rPr>
                <w:rFonts w:eastAsia="Calibri" w:cs=""/>
                <w:kern w:val="0"/>
                <w:sz w:val="26"/>
                <w:szCs w:val="22"/>
                <w:lang w:val="ru-RU" w:eastAsia="en-US" w:bidi="ar-SA"/>
              </w:rPr>
              <w:t>);</w:t>
            </w:r>
          </w:p>
          <w:p>
            <w:pPr>
              <w:pStyle w:val="Style27"/>
              <w:widowControl w:val="false"/>
              <w:numPr>
                <w:ilvl w:val="0"/>
                <w:numId w:val="14"/>
              </w:numPr>
              <w:suppressAutoHyphens w:val="true"/>
              <w:spacing w:before="60" w:after="60"/>
              <w:ind w:left="568" w:hanging="284"/>
              <w:rPr/>
            </w:pPr>
            <w:r>
              <w:rPr>
                <w:rFonts w:eastAsia="Calibri" w:cs=""/>
                <w:kern w:val="0"/>
                <w:sz w:val="26"/>
                <w:szCs w:val="22"/>
                <w:lang w:val="ru-RU" w:eastAsia="en-US" w:bidi="ar-SA"/>
              </w:rPr>
              <w:t>при отсутствии у Участника на момент подачи заявки статуса «аккредитован» (при условии, что Участник ранее направил Заявку на 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 – декларация в составе Письма о подаче оферты (форма 2)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7"/>
              <w:widowControl w:val="false"/>
              <w:numPr>
                <w:ilvl w:val="0"/>
                <w:numId w:val="14"/>
              </w:numPr>
              <w:suppressAutoHyphens w:val="true"/>
              <w:spacing w:before="60" w:after="60"/>
              <w:ind w:left="568" w:hanging="284"/>
              <w:rPr/>
            </w:pPr>
            <w:r>
              <w:rPr>
                <w:rFonts w:eastAsia="Calibri" w:cs=""/>
                <w:kern w:val="0"/>
                <w:sz w:val="26"/>
                <w:szCs w:val="22"/>
                <w:lang w:val="ru-RU" w:eastAsia="en-US" w:bidi="ar-SA"/>
              </w:rPr>
              <w:t>при отсутствии у Участника на момент подачи заявки статуса «аккредитован» (не проходил ранее процедуру аккредитации) или наличия у Участника статуса «не аккредитован» (по результатам ранее пройденной процедуры аккредитации), а также для лиц, указанных в пункте 3.11 Положения об аккредитации (аккредитация не требуется), но которые ранее не направляли соответствующие сведения для включения записи в Реестр аккредитации – Заявка на аккредитацию по установленной в Документации о закупке форме (</w:t>
            </w:r>
            <w:hyperlink w:anchor="Прил10_ФормаЗаявкиНаАккредитацию">
              <w:r>
                <w:rPr>
                  <w:rStyle w:val="Style11"/>
                  <w:rFonts w:eastAsia="Calibri" w:cs=""/>
                  <w:kern w:val="0"/>
                  <w:sz w:val="26"/>
                  <w:szCs w:val="22"/>
                  <w:lang w:val="ru-RU" w:eastAsia="en-US" w:bidi="ar-SA"/>
                </w:rPr>
                <w:t>Приложение № 10</w:t>
              </w:r>
            </w:hyperlink>
            <w:r>
              <w:rPr>
                <w:rFonts w:eastAsia="Calibri" w:cs=""/>
                <w:kern w:val="0"/>
                <w:sz w:val="26"/>
                <w:szCs w:val="22"/>
                <w:lang w:val="ru-RU" w:eastAsia="en-US" w:bidi="ar-SA"/>
              </w:rPr>
              <w:t>).</w:t>
            </w:r>
          </w:p>
          <w:p>
            <w:pPr>
              <w:pStyle w:val="Style27"/>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 xml:space="preserve">В случае заинтересованности Участника в дополнительной оценке его финансового состояния, при условии отсутствия опубликованной в государственном информационном ресурсе бухгалтерской (финансовой) отчетности организаций (https://bo.nalog.ru), к Заявке на аккредитацию также прилагается электронная копия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 </w:t>
            </w:r>
          </w:p>
          <w:p>
            <w:pPr>
              <w:pStyle w:val="Style27"/>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Участник в соответствии с законодательством формирует отчетность по формам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вместе с Заявкой на аккредитацию:</w:t>
            </w:r>
          </w:p>
          <w:p>
            <w:pPr>
              <w:pStyle w:val="Style27"/>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w:t>
            </w:r>
            <w:r>
              <w:rPr>
                <w:rFonts w:eastAsia="Calibri" w:cs=""/>
                <w:kern w:val="0"/>
                <w:sz w:val="26"/>
                <w:szCs w:val="22"/>
                <w:lang w:val="ru-RU" w:eastAsia="en-US" w:bidi="ar-SA"/>
              </w:rPr>
              <w:tab/>
              <w:t>электронной копии бухгалтерской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p>
          <w:p>
            <w:pPr>
              <w:pStyle w:val="Style27"/>
              <w:widowControl w:val="false"/>
              <w:suppressAutoHyphens w:val="true"/>
              <w:spacing w:before="60" w:after="60"/>
              <w:ind w:left="284" w:hanging="0"/>
              <w:rPr/>
            </w:pPr>
            <w:r>
              <w:rPr>
                <w:rFonts w:eastAsia="Calibri" w:cs=""/>
                <w:kern w:val="0"/>
                <w:sz w:val="26"/>
                <w:szCs w:val="22"/>
                <w:lang w:val="ru-RU" w:eastAsia="en-US" w:bidi="ar-SA"/>
              </w:rPr>
              <w:t>−</w:t>
            </w:r>
            <w:r>
              <w:rPr>
                <w:rFonts w:eastAsia="Calibri" w:cs=""/>
                <w:kern w:val="0"/>
                <w:sz w:val="26"/>
                <w:szCs w:val="22"/>
                <w:lang w:val="ru-RU" w:eastAsia="en-US" w:bidi="ar-SA"/>
              </w:rPr>
              <w:tab/>
              <w:t xml:space="preserve">дополнительных сведений о размере всех требуемых показателей согласно данным бухгалтерской (финансовой) отчетности (по форме, представленной в </w:t>
            </w:r>
            <w:hyperlink w:anchor="Прил11_Данные_бухотчетность">
              <w:r>
                <w:rPr>
                  <w:rStyle w:val="Hyperlink"/>
                  <w:rFonts w:eastAsia="Calibri" w:cs=""/>
                  <w:kern w:val="0"/>
                  <w:sz w:val="26"/>
                  <w:szCs w:val="22"/>
                  <w:lang w:val="ru-RU" w:eastAsia="en-US" w:bidi="ar-SA"/>
                </w:rPr>
                <w:t>Приложении № 11</w:t>
              </w:r>
            </w:hyperlink>
            <w:r>
              <w:rPr>
                <w:rFonts w:eastAsia="Calibri" w:cs=""/>
                <w:kern w:val="0"/>
                <w:sz w:val="26"/>
                <w:szCs w:val="22"/>
                <w:lang w:val="ru-RU" w:eastAsia="en-US" w:bidi="ar-SA"/>
              </w:rPr>
              <w:t>).</w:t>
            </w:r>
          </w:p>
          <w:p>
            <w:pPr>
              <w:pStyle w:val="Style27"/>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Указанные документы не являются обязательными к подаче в рамках процедуры аккредитации и предоставляются по желанию Участника.</w:t>
            </w:r>
          </w:p>
        </w:tc>
      </w:tr>
      <w:tr>
        <w:trPr/>
        <w:tc>
          <w:tcPr>
            <w:tcW w:w="1128" w:type="dxa"/>
            <w:tcBorders/>
          </w:tcPr>
          <w:p>
            <w:pPr>
              <w:pStyle w:val="Style27"/>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13" w:name="_Ref132893662"/>
            <w:bookmarkStart w:id="314" w:name="_Ref132893662"/>
            <w:bookmarkEnd w:id="314"/>
          </w:p>
        </w:tc>
        <w:tc>
          <w:tcPr>
            <w:tcW w:w="5671"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 должен являться субъектом МСП, или физическим лицом, не являющимся индивидуальным предпринимателем и применяющим специальный налоговый режим «Налог на профессиональный доход»:</w:t>
            </w:r>
          </w:p>
        </w:tc>
        <w:tc>
          <w:tcPr>
            <w:tcW w:w="8327"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Предоставление документов не требуется.</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(В рамках рассмотрения заявок Организатор проверяет наличие информации об Участнике в Реестре МСП,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p>
        </w:tc>
      </w:tr>
      <w:tr>
        <w:trPr/>
        <w:tc>
          <w:tcPr>
            <w:tcW w:w="1128" w:type="dxa"/>
            <w:tcBorders/>
          </w:tcPr>
          <w:p>
            <w:pPr>
              <w:pStyle w:val="Style27"/>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15" w:name="_Ref139029906"/>
            <w:bookmarkStart w:id="316" w:name="_Ref139029906"/>
            <w:bookmarkEnd w:id="316"/>
          </w:p>
        </w:tc>
        <w:tc>
          <w:tcPr>
            <w:tcW w:w="5671"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Сведения об Участнике должны отсутствовать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w:t>
            </w:r>
            <w:r>
              <w:rPr>
                <w:rStyle w:val="FootnoteReference"/>
                <w:rFonts w:eastAsia="Calibri" w:cs=""/>
                <w:kern w:val="0"/>
                <w:sz w:val="26"/>
                <w:szCs w:val="22"/>
                <w:lang w:val="ru-RU" w:eastAsia="en-US" w:bidi="ar-SA"/>
              </w:rPr>
              <w:footnoteReference w:id="12"/>
            </w:r>
            <w:r>
              <w:rPr>
                <w:rFonts w:eastAsia="Calibri" w:cs=""/>
                <w:kern w:val="0"/>
                <w:sz w:val="26"/>
                <w:szCs w:val="22"/>
                <w:lang w:val="ru-RU" w:eastAsia="en-US" w:bidi="ar-SA"/>
              </w:rPr>
              <w:t>, а также Участник не должен являться подконтрольной организацией данных юридических лиц</w:t>
            </w:r>
            <w:r>
              <w:rPr>
                <w:rStyle w:val="FootnoteReference"/>
                <w:rFonts w:eastAsia="Calibri" w:cs=""/>
                <w:kern w:val="0"/>
                <w:sz w:val="26"/>
                <w:szCs w:val="22"/>
                <w:lang w:val="ru-RU" w:eastAsia="en-US" w:bidi="ar-SA"/>
              </w:rPr>
              <w:footnoteReference w:id="13"/>
            </w:r>
            <w:r>
              <w:rPr>
                <w:rFonts w:eastAsia="Calibri" w:cs=""/>
                <w:kern w:val="0"/>
                <w:sz w:val="26"/>
                <w:szCs w:val="22"/>
                <w:lang w:val="ru-RU" w:eastAsia="en-US" w:bidi="ar-SA"/>
              </w:rPr>
              <w:t>:</w:t>
            </w:r>
          </w:p>
        </w:tc>
        <w:tc>
          <w:tcPr>
            <w:tcW w:w="8327"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Предоставление документов не требуется.</w:t>
            </w:r>
          </w:p>
          <w:p>
            <w:pPr>
              <w:pStyle w:val="Style27"/>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и (или) перед заключением договора 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«О мерах по реализации Указа Президента Российской Федерации от 3 мая 2022 г. N 252».)</w:t>
            </w:r>
          </w:p>
        </w:tc>
      </w:tr>
      <w:tr>
        <w:trPr/>
        <w:tc>
          <w:tcPr>
            <w:tcW w:w="1128" w:type="dxa"/>
            <w:tcBorders/>
          </w:tcPr>
          <w:p>
            <w:pPr>
              <w:pStyle w:val="Style27"/>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17" w:name="_Ref186184202"/>
            <w:bookmarkStart w:id="318" w:name="_Ref186184202"/>
            <w:bookmarkEnd w:id="318"/>
          </w:p>
        </w:tc>
        <w:tc>
          <w:tcPr>
            <w:tcW w:w="5671"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запрета закупки иностранной продукции и предметом закупки является оказание услуг и (или) выполнение работ (в том числе с поставкой товаров при выполнении закупаемых работ и (или) оказании закупаемых услуг), то Участник должен быть российским лицом:</w:t>
            </w:r>
          </w:p>
        </w:tc>
        <w:tc>
          <w:tcPr>
            <w:tcW w:w="8327" w:type="dxa"/>
            <w:tcBorders/>
          </w:tcPr>
          <w:p>
            <w:pPr>
              <w:pStyle w:val="Style27"/>
              <w:widowControl w:val="false"/>
              <w:suppressAutoHyphens w:val="true"/>
              <w:spacing w:before="60" w:after="60"/>
              <w:rPr/>
            </w:pPr>
            <w:r>
              <w:rPr>
                <w:rFonts w:eastAsia="Calibri" w:cs=""/>
                <w:kern w:val="0"/>
                <w:sz w:val="26"/>
                <w:szCs w:val="22"/>
                <w:lang w:val="ru-RU" w:eastAsia="en-US" w:bidi="ar-SA"/>
              </w:rPr>
              <w:t>Декларация о соответствии Участника данному требованию в составе Письма о подаче оферты (форма 2)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а также указание Участником в составе заявки в Коммерческом предложении (форма 3)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соответствующих сведений.</w:t>
            </w:r>
          </w:p>
          <w:p>
            <w:pPr>
              <w:pStyle w:val="Style27"/>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Организатор проверяет на соответствие данному требованию на основании сведений, размещенных на официальных сервисах ФНС России в сети интернет (в отношении иных стран ЕАЭС – на аналогичных официальных сервисах данных стран).)</w:t>
            </w:r>
          </w:p>
        </w:tc>
      </w:tr>
      <w:tr>
        <w:trPr/>
        <w:tc>
          <w:tcPr>
            <w:tcW w:w="1128" w:type="dxa"/>
            <w:tcBorders/>
          </w:tcPr>
          <w:p>
            <w:pPr>
              <w:pStyle w:val="Style27"/>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19" w:name="_Ref186184207"/>
            <w:bookmarkStart w:id="320" w:name="_Ref186184207"/>
            <w:bookmarkEnd w:id="320"/>
          </w:p>
        </w:tc>
        <w:tc>
          <w:tcPr>
            <w:tcW w:w="5671"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ограничения закупки иностранной продукции и предметом закупки является оказание услуг и (или) выполнение работ (в том числе с поставкой товаров при выполнении закупаемых работ и (или) оказании закупаемых услуг), то Участник не должен являться иностранным лицом, при наличии заявки, соответствующей всем требованиям Документации о закупке, поданной от российского лица:</w:t>
            </w:r>
          </w:p>
        </w:tc>
        <w:tc>
          <w:tcPr>
            <w:tcW w:w="8327" w:type="dxa"/>
            <w:tcBorders/>
          </w:tcPr>
          <w:p>
            <w:pPr>
              <w:pStyle w:val="Style27"/>
              <w:widowControl w:val="false"/>
              <w:suppressAutoHyphens w:val="true"/>
              <w:spacing w:before="60" w:after="60"/>
              <w:rPr/>
            </w:pPr>
            <w:r>
              <w:rPr>
                <w:rFonts w:eastAsia="Calibri" w:cs=""/>
                <w:kern w:val="0"/>
                <w:sz w:val="26"/>
                <w:szCs w:val="22"/>
                <w:lang w:val="ru-RU" w:eastAsia="en-US" w:bidi="ar-SA"/>
              </w:rPr>
              <w:t>Декларация о принадлежности Участника к иностранному лицу или российскому лицу в составе Письма о подаче оферты (форма 2)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а также указание Участником в составе заявки в Коммерческом предложении (форма 3)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соответствующих сведений.</w:t>
            </w:r>
          </w:p>
          <w:p>
            <w:pPr>
              <w:pStyle w:val="Style27"/>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Организатор проверяет на соответствие данному требованию на основании сведений, размещенных на официальных сервисах ФНС России в сети интернет (в отношении иных стран ЕАЭС – на аналогичных официальных сервисах данных стран).)</w:t>
            </w:r>
          </w:p>
        </w:tc>
      </w:tr>
    </w:tbl>
    <w:p>
      <w:pPr>
        <w:pStyle w:val="Style22"/>
        <w:spacing w:before="360" w:after="120"/>
        <w:rPr/>
      </w:pPr>
      <w:bookmarkStart w:id="321" w:name="_Ref125361442"/>
      <w:bookmarkStart w:id="322" w:name="_Ref125361633"/>
      <w:bookmarkStart w:id="323" w:name="_Ref125361671"/>
      <w:bookmarkStart w:id="324" w:name="_Ref125361869"/>
      <w:bookmarkStart w:id="325" w:name="_Ref125361937"/>
      <w:bookmarkStart w:id="326" w:name="_Ref125365459"/>
      <w:bookmarkStart w:id="327" w:name="_Ref125367521"/>
      <w:bookmarkStart w:id="328" w:name="_Ref125367539"/>
      <w:bookmarkStart w:id="329" w:name="_Ref125368818"/>
      <w:bookmarkStart w:id="330" w:name="_Ref125368901"/>
      <w:bookmarkStart w:id="331" w:name="_Ref125368916"/>
      <w:bookmarkStart w:id="332" w:name="_Ref125369099"/>
      <w:bookmarkStart w:id="333" w:name="_Ref125370079"/>
      <w:bookmarkStart w:id="334" w:name="_Ref125709153"/>
      <w:bookmarkStart w:id="335" w:name="_Ref125709250"/>
      <w:bookmarkStart w:id="336" w:name="_Ref125709401"/>
      <w:bookmarkStart w:id="337" w:name="_Ref125709888"/>
      <w:bookmarkStart w:id="338" w:name="_Toc228877244"/>
      <w:r>
        <w:rPr/>
        <w:t>Специальные требования</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tbl>
      <w:tblPr>
        <w:tblStyle w:val="af9"/>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27"/>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27"/>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Участнику</w:t>
            </w:r>
          </w:p>
        </w:tc>
        <w:tc>
          <w:tcPr>
            <w:tcW w:w="8327" w:type="dxa"/>
            <w:tcBorders/>
          </w:tcPr>
          <w:p>
            <w:pPr>
              <w:pStyle w:val="Style27"/>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27"/>
              <w:widowControl w:val="false"/>
              <w:numPr>
                <w:ilvl w:val="0"/>
                <w:numId w:val="3"/>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5671" w:type="dxa"/>
            <w:tcBorders/>
          </w:tcPr>
          <w:p>
            <w:pPr>
              <w:pStyle w:val="Style27"/>
              <w:widowControl w:val="false"/>
              <w:suppressAutoHyphens w:val="true"/>
              <w:spacing w:before="60" w:after="60"/>
              <w:rPr>
                <w:rFonts w:ascii="Times New Roman" w:hAnsi="Times New Roman" w:eastAsia="Calibri" w:cs=""/>
                <w:kern w:val="0"/>
                <w:sz w:val="26"/>
                <w:szCs w:val="22"/>
                <w:lang w:eastAsia="en-US" w:bidi="ar-SA"/>
              </w:rPr>
            </w:pPr>
            <w:r>
              <w:rPr>
                <w:rFonts w:eastAsia="Calibri" w:cs=""/>
                <w:kern w:val="0"/>
                <w:sz w:val="26"/>
                <w:szCs w:val="22"/>
                <w:lang w:val="ru-RU" w:eastAsia="en-US" w:bidi="ar-SA"/>
              </w:rPr>
              <w:t>Специальные требования не установлены.</w:t>
            </w:r>
          </w:p>
        </w:tc>
        <w:tc>
          <w:tcPr>
            <w:tcW w:w="8327" w:type="dxa"/>
            <w:tcBorders/>
          </w:tcPr>
          <w:p>
            <w:pPr>
              <w:pStyle w:val="Style27"/>
              <w:widowControl w:val="false"/>
              <w:suppressAutoHyphens w:val="true"/>
              <w:spacing w:before="60" w:after="60"/>
              <w:rPr>
                <w:rFonts w:ascii="Times New Roman" w:hAnsi="Times New Roman" w:eastAsia="Calibri" w:cs=""/>
                <w:kern w:val="0"/>
                <w:sz w:val="26"/>
                <w:szCs w:val="22"/>
                <w:lang w:eastAsia="en-US" w:bidi="ar-SA"/>
              </w:rPr>
            </w:pPr>
            <w:r>
              <w:rPr>
                <w:rFonts w:eastAsia="Calibri" w:cs=""/>
                <w:kern w:val="0"/>
                <w:sz w:val="26"/>
                <w:szCs w:val="22"/>
                <w:lang w:val="ru-RU" w:eastAsia="en-US" w:bidi="ar-SA"/>
              </w:rPr>
              <w:t>Специальные требования не установлены.</w:t>
            </w:r>
          </w:p>
        </w:tc>
      </w:tr>
    </w:tbl>
    <w:p>
      <w:pPr>
        <w:pStyle w:val="Style22"/>
        <w:spacing w:before="360" w:after="120"/>
        <w:rPr/>
      </w:pPr>
      <w:bookmarkStart w:id="339" w:name="_Ref125361823"/>
      <w:bookmarkStart w:id="340" w:name="_Ref125362031"/>
      <w:bookmarkStart w:id="341" w:name="_Ref125369117"/>
      <w:bookmarkStart w:id="342" w:name="_Ref125370173"/>
      <w:bookmarkStart w:id="343" w:name="_Ref125370180"/>
      <w:bookmarkStart w:id="344" w:name="_Ref125370209"/>
      <w:bookmarkStart w:id="345" w:name="_Ref125709777"/>
      <w:bookmarkStart w:id="346" w:name="_Ref125709973"/>
      <w:bookmarkStart w:id="347" w:name="_Toc228877245"/>
      <w:bookmarkStart w:id="348" w:name="_Toc224743259"/>
      <w:bookmarkStart w:id="349" w:name="_Toc224743264"/>
      <w:bookmarkStart w:id="350" w:name="_Toc224743268"/>
      <w:bookmarkEnd w:id="348"/>
      <w:bookmarkEnd w:id="349"/>
      <w:bookmarkEnd w:id="350"/>
      <w:r>
        <w:rPr/>
        <w:t>Дополнительные требования к Генеральным подрядчикам</w:t>
      </w:r>
      <w:bookmarkEnd w:id="339"/>
      <w:bookmarkEnd w:id="340"/>
      <w:bookmarkEnd w:id="341"/>
      <w:bookmarkEnd w:id="342"/>
      <w:bookmarkEnd w:id="343"/>
      <w:bookmarkEnd w:id="344"/>
      <w:bookmarkEnd w:id="345"/>
      <w:bookmarkEnd w:id="346"/>
      <w:bookmarkEnd w:id="347"/>
    </w:p>
    <w:tbl>
      <w:tblPr>
        <w:tblStyle w:val="af9"/>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27"/>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27"/>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Генеральному подрядчику</w:t>
            </w:r>
          </w:p>
        </w:tc>
        <w:tc>
          <w:tcPr>
            <w:tcW w:w="8327" w:type="dxa"/>
            <w:tcBorders/>
          </w:tcPr>
          <w:p>
            <w:pPr>
              <w:pStyle w:val="Style27"/>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 подтверждающим соответствие</w:t>
              <w:br/>
              <w:t>Генерального подрядчика установленным требованиям</w:t>
            </w:r>
          </w:p>
        </w:tc>
      </w:tr>
      <w:tr>
        <w:trPr/>
        <w:tc>
          <w:tcPr>
            <w:tcW w:w="1128" w:type="dxa"/>
            <w:tcBorders/>
          </w:tcPr>
          <w:p>
            <w:pPr>
              <w:pStyle w:val="Style27"/>
              <w:widowControl w:val="false"/>
              <w:numPr>
                <w:ilvl w:val="0"/>
                <w:numId w:val="4"/>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51" w:name="_Ref125370187"/>
            <w:bookmarkStart w:id="352" w:name="_Ref125370187"/>
            <w:bookmarkEnd w:id="352"/>
          </w:p>
        </w:tc>
        <w:tc>
          <w:tcPr>
            <w:tcW w:w="5671"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Заявка Генерального подрядчика дополнительно должна включать сведения о распределении объемов поставки продукции между Генеральным подрядчиком и субподрядчиками:</w:t>
            </w:r>
          </w:p>
        </w:tc>
        <w:tc>
          <w:tcPr>
            <w:tcW w:w="8327" w:type="dxa"/>
            <w:tcBorders/>
          </w:tcPr>
          <w:p>
            <w:pPr>
              <w:pStyle w:val="Style27"/>
              <w:widowControl w:val="false"/>
              <w:suppressAutoHyphens w:val="true"/>
              <w:spacing w:before="60" w:after="60"/>
              <w:rPr/>
            </w:pPr>
            <w:r>
              <w:rPr>
                <w:rFonts w:eastAsia="Calibri" w:cs=""/>
                <w:kern w:val="0"/>
                <w:sz w:val="26"/>
                <w:szCs w:val="22"/>
                <w:lang w:val="ru-RU" w:eastAsia="en-US" w:bidi="ar-SA"/>
              </w:rPr>
              <w:t>Техническое предложение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содержащие План распределения объемов поставки продукции;</w:t>
            </w:r>
          </w:p>
        </w:tc>
      </w:tr>
      <w:tr>
        <w:trPr/>
        <w:tc>
          <w:tcPr>
            <w:tcW w:w="1128" w:type="dxa"/>
            <w:tcBorders/>
          </w:tcPr>
          <w:p>
            <w:pPr>
              <w:pStyle w:val="Style27"/>
              <w:widowControl w:val="false"/>
              <w:numPr>
                <w:ilvl w:val="0"/>
                <w:numId w:val="4"/>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53" w:name="_Ref125370193"/>
            <w:bookmarkStart w:id="354" w:name="_Ref125370193"/>
            <w:bookmarkEnd w:id="354"/>
          </w:p>
        </w:tc>
        <w:tc>
          <w:tcPr>
            <w:tcW w:w="5671" w:type="dxa"/>
            <w:tcBorders/>
          </w:tcPr>
          <w:p>
            <w:pPr>
              <w:pStyle w:val="Style27"/>
              <w:widowControl w:val="false"/>
              <w:suppressAutoHyphens w:val="true"/>
              <w:spacing w:before="60" w:after="60"/>
              <w:rPr/>
            </w:pPr>
            <w:r>
              <w:rPr>
                <w:rFonts w:eastAsia="Calibri" w:cs=""/>
                <w:kern w:val="0"/>
                <w:sz w:val="26"/>
                <w:szCs w:val="22"/>
                <w:lang w:val="ru-RU" w:eastAsia="en-US" w:bidi="ar-SA"/>
              </w:rPr>
              <w:t>Соответствие каждого субподрядчика установленным требованиям (с учетом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_Ref125368863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r>
            <w:r>
              <w:rPr>
                <w:sz w:val="26"/>
                <w:kern w:val="0"/>
                <w:szCs w:val="22"/>
                <w:rFonts w:eastAsia="Calibri" w:cs=""/>
                <w:lang w:val="ru-RU" w:eastAsia="en-US" w:bidi="ar-SA"/>
              </w:rPr>
              <w:fldChar w:fldCharType="end"/>
            </w:r>
            <w:r>
              <w:rPr>
                <w:rFonts w:eastAsia="Calibri" w:cs=""/>
                <w:kern w:val="0"/>
                <w:sz w:val="26"/>
                <w:szCs w:val="22"/>
                <w:lang w:val="ru-RU" w:eastAsia="en-US" w:bidi="ar-SA"/>
              </w:rPr>
              <w:t>) в том числе с учетом объема поставки продукции, который ему предполагается поручить в соответствии с Планом распределения объемов поставки продукции, представленным внутри Технических требованиях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c>
          <w:tcPr>
            <w:tcW w:w="8327"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Сведения и документы, аналогичные установленным в подразделах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t> –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_Ref125361442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t>, в отношении каждого субподрядчика, подтверждающие его соответствие данным требованиям;</w:t>
            </w:r>
          </w:p>
        </w:tc>
      </w:tr>
      <w:tr>
        <w:trPr/>
        <w:tc>
          <w:tcPr>
            <w:tcW w:w="1128" w:type="dxa"/>
            <w:tcBorders/>
          </w:tcPr>
          <w:p>
            <w:pPr>
              <w:pStyle w:val="Style27"/>
              <w:widowControl w:val="false"/>
              <w:numPr>
                <w:ilvl w:val="0"/>
                <w:numId w:val="4"/>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55" w:name="_Ref125553847"/>
            <w:bookmarkStart w:id="356" w:name="_Ref125553847"/>
            <w:bookmarkEnd w:id="356"/>
          </w:p>
        </w:tc>
        <w:tc>
          <w:tcPr>
            <w:tcW w:w="5671"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Дополнительные требования не установлены.</w:t>
            </w:r>
          </w:p>
        </w:tc>
        <w:tc>
          <w:tcPr>
            <w:tcW w:w="8327"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Дополнительные требования не установлены.</w:t>
            </w:r>
          </w:p>
        </w:tc>
      </w:tr>
    </w:tbl>
    <w:p>
      <w:pPr>
        <w:sectPr>
          <w:headerReference w:type="default" r:id="rId14"/>
          <w:headerReference w:type="first" r:id="rId15"/>
          <w:footerReference w:type="default" r:id="rId16"/>
          <w:footerReference w:type="first" r:id="rId17"/>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21"/>
        <w:rPr/>
      </w:pPr>
      <w:bookmarkStart w:id="357" w:name="_Toc228877246"/>
      <w:bookmarkStart w:id="358" w:name="Прил04_ФормыЗаявки"/>
      <w:bookmarkEnd w:id="358"/>
      <w:r>
        <w:rPr/>
        <w:t>Приложение № 4 – Образцы форм документов, включаемых в состав заявки</w:t>
      </w:r>
      <w:bookmarkEnd w:id="357"/>
    </w:p>
    <w:p>
      <w:pPr>
        <w:pStyle w:val="Style22"/>
        <w:rPr/>
      </w:pPr>
      <w:bookmarkStart w:id="359" w:name="_Toc228877247"/>
      <w:r>
        <w:rPr/>
        <w:t>Пояснения к Образцам форм документов, включаемых в состав заявки</w:t>
      </w:r>
      <w:bookmarkEnd w:id="359"/>
    </w:p>
    <w:p>
      <w:pPr>
        <w:pStyle w:val="Style23"/>
        <w:rPr/>
      </w:pPr>
      <w:r>
        <w:rPr/>
        <w:t xml:space="preserve">Образцы форм документов, включаемых в состав заявки (с инструкциями по их оформлению), приведены в отдельном файле (предоставляются отдельным документом в составе Документации о закупке), являющимся Приложением № 4 к Документации о закупке. </w:t>
      </w:r>
      <w:bookmarkStart w:id="360" w:name="_Hlk207814348"/>
      <w:r>
        <w:rPr/>
        <w:t>Участник при подготовке заявки обязан придерживаться установленных форм документов</w:t>
      </w:r>
      <w:bookmarkEnd w:id="360"/>
      <w:r>
        <w:rPr/>
        <w:t>.</w:t>
      </w:r>
    </w:p>
    <w:p>
      <w:pPr>
        <w:pStyle w:val="Style21"/>
        <w:rPr/>
      </w:pPr>
      <w:bookmarkStart w:id="361" w:name="_Toc228877248"/>
      <w:bookmarkStart w:id="362" w:name="Прил05_ФормыПобедителя"/>
      <w:bookmarkEnd w:id="362"/>
      <w:r>
        <w:rPr/>
        <w:t>Приложение № 5 – Образцы форм документов, предоставляемых Победителем</w:t>
      </w:r>
      <w:bookmarkEnd w:id="361"/>
    </w:p>
    <w:p>
      <w:pPr>
        <w:pStyle w:val="Style22"/>
        <w:rPr/>
      </w:pPr>
      <w:bookmarkStart w:id="363" w:name="_Toc228877249"/>
      <w:r>
        <w:rPr/>
        <w:t>Пояснения к Образцам форм документов, предоставляемых Победителем</w:t>
      </w:r>
      <w:bookmarkEnd w:id="363"/>
    </w:p>
    <w:p>
      <w:pPr>
        <w:pStyle w:val="Style23"/>
        <w:rPr/>
      </w:pPr>
      <w:r>
        <w:rPr/>
        <w:t>Образцы форм документов, предоставляемых Победителем (или Единственным участником, в случае признания закупки несостоявшейся и принятия решения о заключении договора с ее Единственным участником), а также дополнительные пояснения по их предоставлению и инструкции по их оформлению, приведены в подразделах </w:t>
      </w:r>
      <w:r>
        <w:rPr/>
        <w:fldChar w:fldCharType="begin"/>
      </w:r>
      <w:r>
        <w:rPr/>
        <w:instrText xml:space="preserve"> REF _Ref130395470 \r \h </w:instrText>
      </w:r>
      <w:r>
        <w:rPr/>
        <w:fldChar w:fldCharType="separate"/>
      </w:r>
      <w:r>
        <w:rPr/>
        <w:t>10.2</w:t>
      </w:r>
      <w:r>
        <w:rPr/>
        <w:fldChar w:fldCharType="end"/>
      </w:r>
      <w:r>
        <w:rPr/>
        <w:t xml:space="preserve">, </w:t>
      </w:r>
      <w:r>
        <w:rPr/>
        <w:fldChar w:fldCharType="begin"/>
      </w:r>
      <w:r>
        <w:rPr/>
        <w:instrText xml:space="preserve"> REF _Ref130395475 \r \h </w:instrText>
      </w:r>
      <w:r>
        <w:rPr/>
        <w:fldChar w:fldCharType="separate"/>
      </w:r>
      <w:r>
        <w:rPr/>
        <w:t>10.3</w:t>
      </w:r>
      <w:r>
        <w:rPr/>
        <w:fldChar w:fldCharType="end"/>
      </w:r>
      <w:r>
        <w:rPr/>
        <w:t>.</w:t>
      </w:r>
    </w:p>
    <w:p>
      <w:pPr>
        <w:pStyle w:val="Style22"/>
        <w:rPr/>
      </w:pPr>
      <w:bookmarkStart w:id="364" w:name="_Ref130395470"/>
      <w:bookmarkStart w:id="365" w:name="_Toc228877250"/>
      <w:r>
        <w:rPr/>
        <w:t>Форма справки «Сведения о цепочке собственников, включая бенефициаров (в том числе конечных)»</w:t>
      </w:r>
      <w:bookmarkEnd w:id="364"/>
      <w:bookmarkEnd w:id="365"/>
    </w:p>
    <w:p>
      <w:pPr>
        <w:pStyle w:val="Style23"/>
        <w:rPr/>
      </w:pPr>
      <w:r>
        <w:rPr/>
        <w:t>Справка «Сведения о цепочке собственников, включая бенефициаров (в том числе конечных)» предоставляется Победителем закупки (поставщиком).</w:t>
      </w:r>
    </w:p>
    <w:p>
      <w:pPr>
        <w:pStyle w:val="Style23"/>
        <w:rPr/>
      </w:pPr>
      <w:r>
        <w:rPr/>
        <w:t xml:space="preserve">Форма справки «Сведения о цепочке собственников, включая бенефициаров (в том числе конечных)» </w:t>
      </w:r>
      <w:r>
        <w:rPr>
          <w:lang w:val="en-US"/>
        </w:rPr>
        <w:t>c</w:t>
      </w:r>
      <w:r>
        <w:rPr/>
        <w:t xml:space="preserve"> приложением 1 «Перечень подтверждающих документов» и приложением 2 «Согласие на обработку и передачу персональных и иных охраняемых законом данных» приведена в отдельном файле в формате </w:t>
      </w:r>
      <w:r>
        <w:rPr>
          <w:lang w:val="en-US"/>
        </w:rPr>
        <w:t>Microsoft</w:t>
      </w:r>
      <w:r>
        <w:rPr/>
        <w:t xml:space="preserve"> </w:t>
      </w:r>
      <w:r>
        <w:rPr>
          <w:lang w:val="en-US"/>
        </w:rPr>
        <w:t>Word</w:t>
      </w:r>
      <w:r>
        <w:rPr/>
        <w:t>:</w:t>
      </w:r>
      <w:bookmarkStart w:id="366" w:name="_MON_1805621314"/>
    </w:p>
    <w:p>
      <w:pPr>
        <w:pStyle w:val="Style27"/>
        <w:jc w:val="center"/>
        <w:rPr/>
      </w:pPr>
      <w:bookmarkStart w:id="367" w:name="_Hlk207814364"/>
      <w:bookmarkEnd w:id="366"/>
      <w:r>
        <w:rPr/>
        <w:object>
          <v:shapetype id="_x0000_tole_rId18" coordsize="21600,21600" o:spt="ole_rId18"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18" type="_x0000_tole_rId18" style="width:90.35pt;height:57.8pt;mso-wrap-distance-right:0pt" filled="f" o:ole="">
            <v:imagedata r:id="rId19" o:title=""/>
          </v:shape>
          <o:OLEObject Type="Embed" ProgID="Word.Document.12" ShapeID="ole_rId18" DrawAspect="Icon" ObjectID="_334106012" r:id="rId18"/>
        </w:object>
      </w:r>
      <w:bookmarkEnd w:id="367"/>
    </w:p>
    <w:p>
      <w:pPr>
        <w:pStyle w:val="Style22"/>
        <w:rPr/>
      </w:pPr>
      <w:bookmarkStart w:id="368" w:name="_Ref130395475"/>
      <w:bookmarkStart w:id="369" w:name="_Toc228877251"/>
      <w:r>
        <w:rPr/>
        <w:t>Форма «Заверение об обстоятельствах»</w:t>
      </w:r>
      <w:bookmarkEnd w:id="368"/>
      <w:bookmarkEnd w:id="369"/>
    </w:p>
    <w:p>
      <w:pPr>
        <w:pStyle w:val="Style23"/>
        <w:rPr/>
      </w:pPr>
      <w:r>
        <w:rPr/>
        <w:t>Форма Заверения об обстоятельствах предоставляется Победителем закупки (поставщиком) только при заключении договоров стоимостью свыше 100 000</w:t>
      </w:r>
      <w:r>
        <w:rPr>
          <w:lang w:val="en-US"/>
        </w:rPr>
        <w:t> </w:t>
      </w:r>
      <w:r>
        <w:rPr/>
        <w:t>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lang w:val="en-US"/>
        </w:rPr>
        <w:t> </w:t>
      </w:r>
      <w:r>
        <w:rPr/>
        <w:t>(трех) рабочих дней с даты официального размещения Организатором итогового протокола по результатам закупки.</w:t>
      </w:r>
    </w:p>
    <w:p>
      <w:pPr>
        <w:pStyle w:val="Style23"/>
        <w:rPr/>
      </w:pPr>
      <w:r>
        <w:rPr/>
        <w:t>Победитель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уставом, внутренними документами и отдельными решениями органов управления Поставщика, для последующего заключения Договора по предмету настоящей закупки.</w:t>
      </w:r>
    </w:p>
    <w:p>
      <w:pPr>
        <w:pStyle w:val="Style23"/>
        <w:rPr/>
      </w:pPr>
      <w:r>
        <w:rPr/>
        <w:t>Заверение об обстоятельствах следует оформить на официальном бланке Победителя закупки (поставщика) (с указанием даты и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p>
    <w:p>
      <w:pPr>
        <w:pStyle w:val="Style23"/>
        <w:keepNext w:val="true"/>
        <w:rPr/>
      </w:pPr>
      <w:r>
        <w:rPr/>
        <w:t xml:space="preserve">Форма «Заверение об обстоятельствах» приведена в отдельном файле в формате </w:t>
      </w:r>
      <w:r>
        <w:rPr>
          <w:lang w:val="en-US"/>
        </w:rPr>
        <w:t>Microsoft</w:t>
      </w:r>
      <w:r>
        <w:rPr/>
        <w:t xml:space="preserve"> </w:t>
      </w:r>
      <w:r>
        <w:rPr>
          <w:lang w:val="en-US"/>
        </w:rPr>
        <w:t>Word</w:t>
      </w:r>
      <w:r>
        <w:rPr/>
        <w:t>:</w:t>
      </w:r>
      <w:bookmarkStart w:id="370" w:name="_MON_1741074184"/>
    </w:p>
    <w:p>
      <w:pPr>
        <w:pStyle w:val="Style27"/>
        <w:spacing w:before="120" w:after="120"/>
        <w:jc w:val="center"/>
        <w:rPr/>
      </w:pPr>
      <w:bookmarkEnd w:id="370"/>
      <w:r>
        <w:rPr/>
        <w:object>
          <v:shapetype id="_x0000_tole_rId20" coordsize="21600,21600" o:spt="ole_rId2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0" type="_x0000_tole_rId20" style="width:80.25pt;height:51.8pt;mso-wrap-distance-right:0pt;mso-wrap-distance-bottom:6pt" filled="f" o:ole="">
            <v:imagedata r:id="rId21" o:title=""/>
          </v:shape>
          <o:OLEObject Type="Embed" ProgID="Word.Document.12" ShapeID="ole_rId20" DrawAspect="Icon" ObjectID="_701992541" r:id="rId20"/>
        </w:object>
      </w:r>
    </w:p>
    <w:p>
      <w:pPr>
        <w:pStyle w:val="Style21"/>
        <w:rPr/>
      </w:pPr>
      <w:bookmarkStart w:id="371" w:name="_Toc228877252"/>
      <w:bookmarkStart w:id="372" w:name="_Ref125362865"/>
      <w:bookmarkStart w:id="373" w:name="_Ref125362900"/>
      <w:bookmarkStart w:id="374" w:name="Прил06_СоставЗаявки"/>
      <w:bookmarkEnd w:id="374"/>
      <w:r>
        <w:rPr/>
        <w:t>Приложение № 6 – Состав заявки</w:t>
      </w:r>
      <w:bookmarkEnd w:id="371"/>
      <w:bookmarkEnd w:id="372"/>
      <w:bookmarkEnd w:id="373"/>
    </w:p>
    <w:p>
      <w:pPr>
        <w:pStyle w:val="Style22"/>
        <w:rPr/>
      </w:pPr>
      <w:bookmarkStart w:id="375" w:name="_Toc228877253"/>
      <w:r>
        <w:rPr/>
        <w:t>Состав заявки</w:t>
      </w:r>
      <w:bookmarkEnd w:id="375"/>
    </w:p>
    <w:p>
      <w:pPr>
        <w:pStyle w:val="Style23"/>
        <w:spacing w:before="120" w:after="120"/>
        <w:rPr/>
      </w:pPr>
      <w:r>
        <w:rPr/>
        <w:t>Заявка на участие в закупке должна состоять из первой части, второй части и ценового предложения, которые должны содержать следующий комплект документов (</w:t>
      </w:r>
      <w:bookmarkStart w:id="376" w:name="_Hlk207814797"/>
      <w:r>
        <w:rPr/>
        <w:t>по установленным формам и в соответствии с инструкциями, приведенными</w:t>
      </w:r>
      <w:bookmarkEnd w:id="376"/>
      <w:r>
        <w:rPr/>
        <w:t xml:space="preserve"> в </w:t>
      </w:r>
      <w:hyperlink w:anchor="Прил04_ФормыЗаявки">
        <w:r>
          <w:rPr>
            <w:rStyle w:val="Style11"/>
          </w:rPr>
          <w:t>Приложении № 4</w:t>
        </w:r>
      </w:hyperlink>
      <w:r>
        <w:rPr/>
        <w:t>):</w:t>
      </w:r>
    </w:p>
    <w:tbl>
      <w:tblPr>
        <w:tblStyle w:val="af9"/>
        <w:tblW w:w="8783" w:type="dxa"/>
        <w:jc w:val="left"/>
        <w:tblInd w:w="1129" w:type="dxa"/>
        <w:tblLayout w:type="fixed"/>
        <w:tblCellMar>
          <w:top w:w="0" w:type="dxa"/>
          <w:left w:w="57" w:type="dxa"/>
          <w:bottom w:w="0" w:type="dxa"/>
          <w:right w:w="57" w:type="dxa"/>
        </w:tblCellMar>
        <w:tblLook w:val="04a0" w:noHBand="0" w:noVBand="1" w:firstColumn="1" w:lastRow="0" w:lastColumn="0" w:firstRow="1"/>
      </w:tblPr>
      <w:tblGrid>
        <w:gridCol w:w="707"/>
        <w:gridCol w:w="8075"/>
      </w:tblGrid>
      <w:tr>
        <w:trPr>
          <w:cnfStyle w:val="100000000000" w:firstRow="1" w:lastRow="0" w:firstColumn="0" w:lastColumn="0" w:oddVBand="0" w:evenVBand="0" w:oddHBand="0" w:evenHBand="0" w:firstRowFirstColumn="0" w:firstRowLastColumn="0" w:lastRowFirstColumn="0" w:lastRowLastColumn="0"/>
        </w:trPr>
        <w:tc>
          <w:tcPr>
            <w:tcW w:w="707"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8075"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 документа</w:t>
            </w:r>
          </w:p>
        </w:tc>
      </w:tr>
      <w:tr>
        <w:trPr/>
        <w:tc>
          <w:tcPr>
            <w:tcW w:w="707" w:type="dxa"/>
            <w:tcBorders/>
          </w:tcPr>
          <w:p>
            <w:pPr>
              <w:pStyle w:val="Style27"/>
              <w:keepNext w:val="true"/>
              <w:widowControl w:val="false"/>
              <w:suppressAutoHyphens w:val="true"/>
              <w:spacing w:before="60" w:after="60"/>
              <w:ind w:left="360" w:hanging="0"/>
              <w:jc w:val="center"/>
              <w:rPr>
                <w:b/>
                <w:bCs/>
              </w:rPr>
            </w:pPr>
            <w:r>
              <w:rPr>
                <w:b/>
                <w:bCs/>
              </w:rPr>
            </w:r>
          </w:p>
        </w:tc>
        <w:tc>
          <w:tcPr>
            <w:tcW w:w="8075" w:type="dxa"/>
            <w:tcBorders/>
          </w:tcPr>
          <w:p>
            <w:pPr>
              <w:pStyle w:val="Style27"/>
              <w:keepNext w:val="true"/>
              <w:widowControl w:val="false"/>
              <w:suppressAutoHyphens w:val="true"/>
              <w:spacing w:before="60" w:after="60"/>
              <w:rPr>
                <w:b/>
                <w:bCs/>
              </w:rPr>
            </w:pPr>
            <w:r>
              <w:rPr>
                <w:rFonts w:eastAsia="Calibri" w:cs=""/>
                <w:b/>
                <w:bCs/>
                <w:kern w:val="0"/>
                <w:sz w:val="26"/>
                <w:szCs w:val="22"/>
                <w:lang w:val="ru-RU" w:eastAsia="en-US" w:bidi="ar-SA"/>
              </w:rPr>
              <w:t>Первая часть заявки:</w:t>
            </w:r>
          </w:p>
        </w:tc>
      </w:tr>
      <w:tr>
        <w:trPr/>
        <w:tc>
          <w:tcPr>
            <w:tcW w:w="707" w:type="dxa"/>
            <w:tcBorders/>
          </w:tcPr>
          <w:p>
            <w:pPr>
              <w:pStyle w:val="Style27"/>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7"/>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 xml:space="preserve">Техническое предложение (форма 4), которое в том числе может включать План распределения объемов поставки продукции </w:t>
            </w:r>
            <w:r>
              <w:rPr>
                <w:rFonts w:eastAsia="Calibri" w:cs=""/>
                <w:i/>
                <w:iCs/>
                <w:kern w:val="0"/>
                <w:sz w:val="26"/>
                <w:szCs w:val="22"/>
                <w:lang w:val="ru-RU" w:eastAsia="en-US" w:bidi="ar-SA"/>
              </w:rPr>
              <w:t>(без указания сведений, позволяющих каким-либо образом идентифицировать генерального подрядчика или привлекаемого им субподрядчика / соисполнителя)</w:t>
            </w:r>
            <w:r>
              <w:rPr>
                <w:rFonts w:eastAsia="Calibri" w:cs=""/>
                <w:kern w:val="0"/>
                <w:sz w:val="26"/>
                <w:szCs w:val="22"/>
                <w:lang w:val="ru-RU" w:eastAsia="en-US" w:bidi="ar-SA"/>
              </w:rPr>
              <w:t>;</w:t>
            </w:r>
          </w:p>
        </w:tc>
      </w:tr>
      <w:tr>
        <w:trPr/>
        <w:tc>
          <w:tcPr>
            <w:tcW w:w="707" w:type="dxa"/>
            <w:tcBorders/>
          </w:tcPr>
          <w:p>
            <w:pPr>
              <w:pStyle w:val="Style27"/>
              <w:keepNext w:val="true"/>
              <w:widowControl w:val="false"/>
              <w:suppressAutoHyphens w:val="true"/>
              <w:spacing w:before="60" w:after="60"/>
              <w:ind w:left="360" w:hanging="0"/>
              <w:jc w:val="center"/>
              <w:rPr>
                <w:b/>
                <w:bCs/>
              </w:rPr>
            </w:pPr>
            <w:r>
              <w:rPr>
                <w:b/>
                <w:bCs/>
              </w:rPr>
            </w:r>
          </w:p>
        </w:tc>
        <w:tc>
          <w:tcPr>
            <w:tcW w:w="8075" w:type="dxa"/>
            <w:tcBorders/>
          </w:tcPr>
          <w:p>
            <w:pPr>
              <w:pStyle w:val="Style27"/>
              <w:keepNext w:val="true"/>
              <w:widowControl w:val="false"/>
              <w:suppressAutoHyphens w:val="true"/>
              <w:spacing w:before="60" w:after="60"/>
              <w:rPr>
                <w:b/>
                <w:bCs/>
              </w:rPr>
            </w:pPr>
            <w:r>
              <w:rPr>
                <w:rFonts w:eastAsia="Calibri" w:cs=""/>
                <w:b/>
                <w:bCs/>
                <w:kern w:val="0"/>
                <w:sz w:val="26"/>
                <w:szCs w:val="22"/>
                <w:lang w:val="ru-RU" w:eastAsia="en-US" w:bidi="ar-SA"/>
              </w:rPr>
              <w:t>Вторая часть заявки:</w:t>
            </w:r>
          </w:p>
        </w:tc>
      </w:tr>
      <w:tr>
        <w:trPr/>
        <w:tc>
          <w:tcPr>
            <w:tcW w:w="707" w:type="dxa"/>
            <w:tcBorders/>
          </w:tcPr>
          <w:p>
            <w:pPr>
              <w:pStyle w:val="Style27"/>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7"/>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Письмо о подаче оферты (форма 2);</w:t>
            </w:r>
          </w:p>
        </w:tc>
      </w:tr>
      <w:tr>
        <w:trPr/>
        <w:tc>
          <w:tcPr>
            <w:tcW w:w="707" w:type="dxa"/>
            <w:tcBorders/>
          </w:tcPr>
          <w:p>
            <w:pPr>
              <w:pStyle w:val="Style27"/>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Анкета Участника (форма 5);</w:t>
            </w:r>
          </w:p>
        </w:tc>
      </w:tr>
      <w:tr>
        <w:trPr/>
        <w:tc>
          <w:tcPr>
            <w:tcW w:w="707" w:type="dxa"/>
            <w:tcBorders/>
          </w:tcPr>
          <w:p>
            <w:pPr>
              <w:pStyle w:val="Style27"/>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7"/>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Участника обязательным требованиям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Fonts w:eastAsia="Calibri" w:cs=""/>
                <w:kern w:val="0"/>
                <w:sz w:val="26"/>
                <w:szCs w:val="22"/>
                <w:lang w:val="ru-RU" w:eastAsia="en-US" w:bidi="ar-SA"/>
              </w:rPr>
              <w:t>), а также необходимые документы для прохождения (при необходимости) процедуры аккредитации – требования к подтверждающим документам приведены в указанном подразделе;</w:t>
            </w:r>
          </w:p>
        </w:tc>
      </w:tr>
      <w:tr>
        <w:trPr/>
        <w:tc>
          <w:tcPr>
            <w:tcW w:w="707" w:type="dxa"/>
            <w:tcBorders/>
          </w:tcPr>
          <w:p>
            <w:pPr>
              <w:pStyle w:val="Style27"/>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7"/>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Участника специальным требованиям – предоставляются, если соответствующие требования установлены в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Fonts w:eastAsia="Calibri" w:cs=""/>
                <w:kern w:val="0"/>
                <w:sz w:val="26"/>
                <w:szCs w:val="22"/>
                <w:lang w:val="ru-RU" w:eastAsia="en-US" w:bidi="ar-SA"/>
              </w:rPr>
              <w:t>);</w:t>
            </w:r>
          </w:p>
        </w:tc>
      </w:tr>
      <w:tr>
        <w:trPr/>
        <w:tc>
          <w:tcPr>
            <w:tcW w:w="707" w:type="dxa"/>
            <w:tcBorders/>
          </w:tcPr>
          <w:p>
            <w:pPr>
              <w:pStyle w:val="Style27"/>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7"/>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Генерального подрядчика требованиям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Fonts w:eastAsia="Calibri" w:cs=""/>
                <w:kern w:val="0"/>
                <w:sz w:val="26"/>
                <w:szCs w:val="22"/>
                <w:lang w:val="ru-RU" w:eastAsia="en-US" w:bidi="ar-SA"/>
              </w:rPr>
              <w:t>) – предоставляются, если Участник подает заявку от лица Генерального подрядчика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_Ref125361702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3.2</w:t>
            </w:r>
            <w:r>
              <w:rPr>
                <w:sz w:val="26"/>
                <w:kern w:val="0"/>
                <w:szCs w:val="22"/>
                <w:rFonts w:eastAsia="Calibri" w:cs=""/>
                <w:lang w:val="ru-RU" w:eastAsia="en-US" w:bidi="ar-SA"/>
              </w:rPr>
              <w:fldChar w:fldCharType="end"/>
            </w:r>
            <w:r>
              <w:rPr>
                <w:rFonts w:eastAsia="Calibri" w:cs=""/>
                <w:kern w:val="0"/>
                <w:sz w:val="26"/>
                <w:szCs w:val="22"/>
                <w:lang w:val="ru-RU" w:eastAsia="en-US" w:bidi="ar-SA"/>
              </w:rPr>
              <w:t>), а именно:</w:t>
            </w:r>
          </w:p>
          <w:p>
            <w:pPr>
              <w:pStyle w:val="Style27"/>
              <w:widowControl w:val="false"/>
              <w:numPr>
                <w:ilvl w:val="0"/>
                <w:numId w:val="7"/>
              </w:numPr>
              <w:suppressAutoHyphens w:val="true"/>
              <w:spacing w:before="60" w:after="60"/>
              <w:ind w:left="284" w:hanging="284"/>
              <w:rPr/>
            </w:pPr>
            <w:r>
              <w:rPr>
                <w:rFonts w:eastAsia="Calibri" w:cs=""/>
                <w:kern w:val="0"/>
                <w:sz w:val="26"/>
                <w:szCs w:val="22"/>
                <w:lang w:val="ru-RU" w:eastAsia="en-US" w:bidi="ar-SA"/>
              </w:rPr>
              <w:t>План распределения объемов поставки продукции, представленный внутри Технических требованиях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7"/>
              <w:widowControl w:val="false"/>
              <w:numPr>
                <w:ilvl w:val="0"/>
                <w:numId w:val="7"/>
              </w:numPr>
              <w:suppressAutoHyphens w:val="true"/>
              <w:spacing w:before="60" w:after="60"/>
              <w:ind w:left="284" w:hanging="284"/>
              <w:rPr/>
            </w:pPr>
            <w:r>
              <w:rPr>
                <w:rFonts w:eastAsia="Calibri" w:cs=""/>
                <w:kern w:val="0"/>
                <w:sz w:val="26"/>
                <w:szCs w:val="22"/>
                <w:lang w:val="ru-RU" w:eastAsia="en-US" w:bidi="ar-SA"/>
              </w:rPr>
              <w:t>прочие документы, определенные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Fonts w:eastAsia="Calibri" w:cs=""/>
                <w:kern w:val="0"/>
                <w:sz w:val="26"/>
                <w:szCs w:val="22"/>
                <w:lang w:val="ru-RU" w:eastAsia="en-US" w:bidi="ar-SA"/>
              </w:rPr>
              <w:t>;</w:t>
            </w:r>
          </w:p>
        </w:tc>
      </w:tr>
      <w:tr>
        <w:trPr/>
        <w:tc>
          <w:tcPr>
            <w:tcW w:w="707" w:type="dxa"/>
            <w:tcBorders/>
          </w:tcPr>
          <w:p>
            <w:pPr>
              <w:pStyle w:val="Style27"/>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77" w:name="_Ref132888537"/>
            <w:bookmarkStart w:id="378" w:name="_Ref132888537"/>
            <w:bookmarkEnd w:id="378"/>
          </w:p>
        </w:tc>
        <w:tc>
          <w:tcPr>
            <w:tcW w:w="8075"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Копия независимой гарантии – предоставляется при необходимости и в случае отсутствия внесенных Участником денежных средств на специальный банковский счет;</w:t>
            </w:r>
          </w:p>
        </w:tc>
      </w:tr>
      <w:tr>
        <w:trPr/>
        <w:tc>
          <w:tcPr>
            <w:tcW w:w="707" w:type="dxa"/>
            <w:tcBorders/>
          </w:tcPr>
          <w:p>
            <w:pPr>
              <w:pStyle w:val="Style27"/>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7"/>
              <w:widowControl w:val="false"/>
              <w:suppressAutoHyphens w:val="true"/>
              <w:spacing w:before="60" w:after="60"/>
              <w:rPr/>
            </w:pPr>
            <w:r>
              <w:rPr>
                <w:rFonts w:eastAsia="Calibri" w:cs=""/>
                <w:kern w:val="0"/>
                <w:sz w:val="26"/>
                <w:szCs w:val="22"/>
                <w:lang w:val="ru-RU" w:eastAsia="en-US" w:bidi="ar-SA"/>
              </w:rPr>
              <w:t>Документы (или их копии), подтверждающие соответствие предлагаемой к поставке продукции требованиям, установленным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 предоставляются, если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было установлено соответствующее требование;</w:t>
            </w:r>
          </w:p>
        </w:tc>
      </w:tr>
      <w:tr>
        <w:trPr/>
        <w:tc>
          <w:tcPr>
            <w:tcW w:w="707" w:type="dxa"/>
            <w:tcBorders/>
          </w:tcPr>
          <w:p>
            <w:pPr>
              <w:pStyle w:val="Style27"/>
              <w:keepNext w:val="true"/>
              <w:widowControl w:val="false"/>
              <w:suppressAutoHyphens w:val="true"/>
              <w:spacing w:before="60" w:after="60"/>
              <w:ind w:left="360" w:hanging="0"/>
              <w:jc w:val="center"/>
              <w:rPr>
                <w:b/>
                <w:bCs/>
              </w:rPr>
            </w:pPr>
            <w:r>
              <w:rPr>
                <w:b/>
                <w:bCs/>
              </w:rPr>
            </w:r>
          </w:p>
        </w:tc>
        <w:tc>
          <w:tcPr>
            <w:tcW w:w="8075" w:type="dxa"/>
            <w:tcBorders/>
          </w:tcPr>
          <w:p>
            <w:pPr>
              <w:pStyle w:val="Style27"/>
              <w:keepNext w:val="true"/>
              <w:widowControl w:val="false"/>
              <w:suppressAutoHyphens w:val="true"/>
              <w:spacing w:before="60" w:after="60"/>
              <w:rPr>
                <w:b/>
                <w:bCs/>
              </w:rPr>
            </w:pPr>
            <w:r>
              <w:rPr>
                <w:rFonts w:eastAsia="Calibri" w:cs=""/>
                <w:b/>
                <w:bCs/>
                <w:kern w:val="0"/>
                <w:sz w:val="26"/>
                <w:szCs w:val="22"/>
                <w:lang w:val="ru-RU" w:eastAsia="en-US" w:bidi="ar-SA"/>
              </w:rPr>
              <w:t>Ценовое предложение (предоставляется в течение 1 (одного) рабочего дня после завершения процедуры аукциона):</w:t>
            </w:r>
          </w:p>
        </w:tc>
      </w:tr>
      <w:tr>
        <w:trPr/>
        <w:tc>
          <w:tcPr>
            <w:tcW w:w="707" w:type="dxa"/>
            <w:tcBorders/>
          </w:tcPr>
          <w:p>
            <w:pPr>
              <w:pStyle w:val="Style27"/>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7"/>
              <w:widowControl w:val="false"/>
              <w:numPr>
                <w:ilvl w:val="0"/>
                <w:numId w:val="5"/>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Коммерческое предложение (включая Структуру НМЦ) (форма 3); также дополнительно предоставляется подтверждающая документация, составленная в соответствии с </w:t>
            </w:r>
            <w:hyperlink w:anchor="Прил01_ТехТребования">
              <w:r>
                <w:rPr>
                  <w:rStyle w:val="Style11"/>
                  <w:rFonts w:eastAsia="Calibri" w:cs=""/>
                  <w:kern w:val="0"/>
                  <w:sz w:val="26"/>
                  <w:szCs w:val="22"/>
                  <w:lang w:val="ru-RU" w:eastAsia="en-US" w:bidi="ar-SA"/>
                </w:rPr>
                <w:t>Техническими требованиями (Приложение № 1)</w:t>
              </w:r>
            </w:hyperlink>
            <w:r>
              <w:rPr>
                <w:rFonts w:eastAsia="Calibri" w:cs=""/>
                <w:kern w:val="0"/>
                <w:sz w:val="26"/>
                <w:szCs w:val="22"/>
                <w:lang w:val="ru-RU" w:eastAsia="en-US" w:bidi="ar-SA"/>
              </w:rPr>
              <w:t xml:space="preserve"> – только если в Технических требованиях установлены требования к документации по ценообразованию (подраздел «Требования к документации по ценообразованию на этапе закупки») либо аналогичные по смыслу.</w:t>
            </w:r>
          </w:p>
        </w:tc>
      </w:tr>
    </w:tbl>
    <w:p>
      <w:pPr>
        <w:sectPr>
          <w:headerReference w:type="default" r:id="rId22"/>
          <w:headerReference w:type="first" r:id="rId23"/>
          <w:footerReference w:type="default" r:id="rId24"/>
          <w:footerReference w:type="first" r:id="rId25"/>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3"/>
        <w:rPr>
          <w:rStyle w:val="Style8"/>
          <w:i w:val="false"/>
          <w:i w:val="false"/>
          <w:iCs w:val="false"/>
          <w:shd w:fill="auto" w:val="clear"/>
        </w:rPr>
      </w:pPr>
      <w:r>
        <w:rPr>
          <w:rStyle w:val="Style8"/>
          <w:i w:val="false"/>
          <w:iCs w:val="false"/>
          <w:shd w:fill="auto" w:val="clear"/>
        </w:rPr>
        <w:t>Если по каким-либо причинам Участник не может предоставить какой-либо из требуемых документов, он может в составе заявки приложить составленную в 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p>
    <w:p>
      <w:pPr>
        <w:pStyle w:val="Style21"/>
        <w:rPr/>
      </w:pPr>
      <w:bookmarkStart w:id="379" w:name="_Ref125365264"/>
      <w:bookmarkStart w:id="380" w:name="_Toc228877254"/>
      <w:bookmarkStart w:id="381" w:name="Прил07_ОтборочныеКритерии"/>
      <w:bookmarkEnd w:id="381"/>
      <w:r>
        <w:rPr/>
        <w:t>Приложение № 7 – Отборочные критерии рассмотрения заявок</w:t>
      </w:r>
      <w:bookmarkEnd w:id="379"/>
      <w:bookmarkEnd w:id="380"/>
    </w:p>
    <w:p>
      <w:pPr>
        <w:pStyle w:val="Style22"/>
        <w:spacing w:before="360" w:after="120"/>
        <w:rPr>
          <w:rStyle w:val="Style8"/>
          <w:i w:val="false"/>
          <w:i w:val="false"/>
          <w:iCs w:val="false"/>
          <w:shd w:fill="auto" w:val="clear"/>
        </w:rPr>
      </w:pPr>
      <w:bookmarkStart w:id="382" w:name="_Toc228877255"/>
      <w:r>
        <w:rPr>
          <w:rStyle w:val="Style8"/>
          <w:i w:val="false"/>
          <w:iCs w:val="false"/>
          <w:shd w:fill="auto" w:val="clear"/>
        </w:rPr>
        <w:t>Отборочные критерии рассмотрения первых частей заявок</w:t>
      </w:r>
      <w:bookmarkEnd w:id="382"/>
    </w:p>
    <w:tbl>
      <w:tblPr>
        <w:tblStyle w:val="af9"/>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отборочного критерия</w:t>
            </w:r>
          </w:p>
        </w:tc>
        <w:tc>
          <w:tcPr>
            <w:tcW w:w="3117"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9918" w:type="dxa"/>
            <w:gridSpan w:val="2"/>
            <w:tcBorders/>
          </w:tcPr>
          <w:p>
            <w:pPr>
              <w:pStyle w:val="Style27"/>
              <w:keepNext w:val="true"/>
              <w:widowControl w:val="false"/>
              <w:suppressAutoHyphens w:val="true"/>
              <w:spacing w:before="60" w:after="60"/>
              <w:rPr>
                <w:b/>
                <w:bCs/>
              </w:rPr>
            </w:pPr>
            <w:r>
              <w:rPr>
                <w:rFonts w:eastAsia="Calibri" w:cs=""/>
                <w:b/>
                <w:bCs/>
                <w:kern w:val="0"/>
                <w:sz w:val="26"/>
                <w:szCs w:val="22"/>
                <w:lang w:val="ru-RU" w:eastAsia="en-US" w:bidi="ar-SA"/>
              </w:rPr>
              <w:t>Состав и правильность оформления первой части заявки, в том числе:</w:t>
            </w:r>
          </w:p>
        </w:tc>
        <w:tc>
          <w:tcPr>
            <w:tcW w:w="3117" w:type="dxa"/>
            <w:tcBorders/>
          </w:tcPr>
          <w:p>
            <w:pPr>
              <w:pStyle w:val="Style27"/>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7"/>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7"/>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Наличие в составе первой части заявки обязательных к предоставлению (для целей рассмотрения первых частей заявок в рамках отборочной стадии) документов в соответствии с требованиями </w:t>
            </w:r>
            <w:hyperlink w:anchor="Прил06_СоставЗаявки">
              <w:r>
                <w:rPr>
                  <w:rStyle w:val="Style11"/>
                  <w:rFonts w:eastAsia="Calibri" w:cs=""/>
                  <w:kern w:val="0"/>
                  <w:sz w:val="26"/>
                  <w:szCs w:val="22"/>
                  <w:lang w:val="ru-RU" w:eastAsia="en-US" w:bidi="ar-SA"/>
                </w:rPr>
                <w:t>Приложения № 6 «Состав заявки»</w:t>
              </w:r>
            </w:hyperlink>
            <w:r>
              <w:rPr>
                <w:rFonts w:eastAsia="Calibri" w:cs=""/>
                <w:kern w:val="0"/>
                <w:sz w:val="26"/>
                <w:szCs w:val="22"/>
                <w:lang w:val="ru-RU" w:eastAsia="en-US" w:bidi="ar-SA"/>
              </w:rPr>
              <w:t>, а также правильность их оформления (в т.ч. в части языка заявки)</w:t>
            </w:r>
          </w:p>
        </w:tc>
        <w:tc>
          <w:tcPr>
            <w:tcW w:w="3117" w:type="dxa"/>
            <w:tcBorders/>
          </w:tcPr>
          <w:p>
            <w:pPr>
              <w:pStyle w:val="Style27"/>
              <w:widowControl w:val="false"/>
              <w:suppressAutoHyphens w:val="true"/>
              <w:spacing w:before="60" w:after="60"/>
              <w:jc w:val="center"/>
              <w:rPr>
                <w:rStyle w:val="Style11"/>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4.6</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6_СоставЗаявки">
              <w:r>
                <w:rPr>
                  <w:rStyle w:val="Style11"/>
                  <w:rFonts w:eastAsia="Calibri" w:cs=""/>
                  <w:kern w:val="0"/>
                  <w:sz w:val="26"/>
                  <w:szCs w:val="22"/>
                  <w:lang w:val="ru-RU" w:eastAsia="en-US" w:bidi="ar-SA"/>
                </w:rPr>
                <w:t>Приложение № 6</w:t>
              </w:r>
            </w:hyperlink>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7"/>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Отсутствие в материалах (документах) первой части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w:t>
            </w:r>
          </w:p>
        </w:tc>
        <w:tc>
          <w:tcPr>
            <w:tcW w:w="3117"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7"/>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Отсутствие в материалах первой части заявки сведений об Участнике и (или) о его ценовом предложении</w:t>
            </w:r>
          </w:p>
        </w:tc>
        <w:tc>
          <w:tcPr>
            <w:tcW w:w="3117"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9918" w:type="dxa"/>
            <w:gridSpan w:val="2"/>
            <w:tcBorders/>
          </w:tcPr>
          <w:p>
            <w:pPr>
              <w:pStyle w:val="Style27"/>
              <w:keepNext w:val="true"/>
              <w:widowControl w:val="false"/>
              <w:suppressAutoHyphens w:val="true"/>
              <w:spacing w:before="60" w:after="60"/>
              <w:rPr>
                <w:b/>
                <w:bCs/>
              </w:rPr>
            </w:pPr>
            <w:r>
              <w:rPr>
                <w:rFonts w:eastAsia="Calibri" w:cs=""/>
                <w:b/>
                <w:bCs/>
                <w:kern w:val="0"/>
                <w:sz w:val="26"/>
                <w:szCs w:val="22"/>
                <w:lang w:val="ru-RU" w:eastAsia="en-US" w:bidi="ar-SA"/>
              </w:rPr>
              <w:t xml:space="preserve">Соответствие Технического предложения Участника </w:t>
            </w:r>
            <w:hyperlink w:anchor="Прил01_ТехТребования">
              <w:r>
                <w:rPr>
                  <w:rStyle w:val="Style11"/>
                  <w:rFonts w:eastAsia="Calibri" w:cs=""/>
                  <w:b/>
                  <w:bCs/>
                  <w:kern w:val="0"/>
                  <w:sz w:val="26"/>
                  <w:szCs w:val="22"/>
                  <w:lang w:val="ru-RU" w:eastAsia="en-US" w:bidi="ar-SA"/>
                </w:rPr>
                <w:t>Техническим требованиям (Приложение № 1)</w:t>
              </w:r>
            </w:hyperlink>
            <w:r>
              <w:rPr>
                <w:rFonts w:eastAsia="Calibri" w:cs=""/>
                <w:b/>
                <w:bCs/>
                <w:kern w:val="0"/>
                <w:sz w:val="26"/>
                <w:szCs w:val="22"/>
                <w:lang w:val="ru-RU" w:eastAsia="en-US" w:bidi="ar-SA"/>
              </w:rPr>
              <w:t>, в том числе:</w:t>
            </w:r>
          </w:p>
        </w:tc>
        <w:tc>
          <w:tcPr>
            <w:tcW w:w="3117" w:type="dxa"/>
            <w:tcBorders/>
          </w:tcPr>
          <w:p>
            <w:pPr>
              <w:pStyle w:val="Style27"/>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7"/>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7"/>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Соответствие объемов и состава работ / услуг, технологии производства работ, предложенных Участником в Техническом предложении, требованиям, указанным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p>
        </w:tc>
        <w:tc>
          <w:tcPr>
            <w:tcW w:w="3117"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7"/>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Соответствие номенклатуры, количества и характеристик материалов / оборудования, предложенных Участником в Техническом предложении, требованиям, указанным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p>
        </w:tc>
        <w:tc>
          <w:tcPr>
            <w:tcW w:w="3117"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7"/>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Соответствие сроков (и (или) этапов) реализации Договора, предложенных Участником в Техническом предложении, указанным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и (или) в </w:t>
            </w:r>
            <w:hyperlink w:anchor="Прил02_ПроектДоговора">
              <w:r>
                <w:rPr>
                  <w:rStyle w:val="Style11"/>
                  <w:rFonts w:eastAsia="Calibri" w:cs=""/>
                  <w:kern w:val="0"/>
                  <w:sz w:val="26"/>
                  <w:szCs w:val="22"/>
                  <w:lang w:val="ru-RU" w:eastAsia="en-US" w:bidi="ar-SA"/>
                </w:rPr>
                <w:t>Проекте договора (Приложение № 2)</w:t>
              </w:r>
            </w:hyperlink>
            <w:r>
              <w:rPr>
                <w:rFonts w:eastAsia="Calibri" w:cs=""/>
                <w:kern w:val="0"/>
                <w:sz w:val="26"/>
                <w:szCs w:val="22"/>
                <w:lang w:val="ru-RU" w:eastAsia="en-US" w:bidi="ar-SA"/>
              </w:rPr>
              <w:t>, или согласие с ними в Письме о подаче оферты</w:t>
            </w:r>
          </w:p>
        </w:tc>
        <w:tc>
          <w:tcPr>
            <w:tcW w:w="3117" w:type="dxa"/>
            <w:tcBorders/>
          </w:tcPr>
          <w:p>
            <w:pPr>
              <w:pStyle w:val="Style27"/>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r>
              <w:rPr>
                <w:rFonts w:eastAsia="Calibri" w:cs=""/>
                <w:kern w:val="0"/>
                <w:sz w:val="26"/>
                <w:szCs w:val="22"/>
                <w:lang w:val="ru-RU" w:eastAsia="en-US" w:bidi="ar-SA"/>
              </w:rPr>
              <w:t>,</w:t>
              <w:br/>
            </w:r>
            <w:hyperlink w:anchor="Прил02_ПроектДоговора">
              <w:r>
                <w:rPr>
                  <w:rStyle w:val="Style11"/>
                  <w:rFonts w:eastAsia="Calibri" w:cs=""/>
                  <w:kern w:val="0"/>
                  <w:sz w:val="26"/>
                  <w:szCs w:val="22"/>
                  <w:lang w:val="ru-RU" w:eastAsia="en-US" w:bidi="ar-SA"/>
                </w:rPr>
                <w:t>Приложение № 2</w:t>
              </w:r>
            </w:hyperlink>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7"/>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Соответствие требованиям к гарантии на поставляемые материалы / оборудование и результаты выполненных работ, указанным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и (или) в </w:t>
            </w:r>
            <w:hyperlink w:anchor="Прил02_ПроектДоговора">
              <w:r>
                <w:rPr>
                  <w:rStyle w:val="Style11"/>
                  <w:rFonts w:eastAsia="Calibri" w:cs=""/>
                  <w:kern w:val="0"/>
                  <w:sz w:val="26"/>
                  <w:szCs w:val="22"/>
                  <w:lang w:val="ru-RU" w:eastAsia="en-US" w:bidi="ar-SA"/>
                </w:rPr>
                <w:t>Проекте договора (Приложение № 2)</w:t>
              </w:r>
            </w:hyperlink>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7"/>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r>
              <w:rPr>
                <w:rFonts w:eastAsia="Calibri" w:cs=""/>
                <w:kern w:val="0"/>
                <w:sz w:val="26"/>
                <w:szCs w:val="22"/>
                <w:lang w:val="ru-RU" w:eastAsia="en-US" w:bidi="ar-SA"/>
              </w:rPr>
              <w:t>,</w:t>
              <w:br/>
            </w:r>
            <w:hyperlink w:anchor="Прил02_ПроектДоговора">
              <w:r>
                <w:rPr>
                  <w:rStyle w:val="Style11"/>
                  <w:rFonts w:eastAsia="Calibri" w:cs=""/>
                  <w:kern w:val="0"/>
                  <w:sz w:val="26"/>
                  <w:szCs w:val="22"/>
                  <w:lang w:val="ru-RU" w:eastAsia="en-US" w:bidi="ar-SA"/>
                </w:rPr>
                <w:t>Приложение № 2</w:t>
              </w:r>
            </w:hyperlink>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7"/>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Соответствие предлагаемой к поставке продукции дополнительным требованиям, установленным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с предоставлением требуемых подтверждающих документов / сведений</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7"/>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bl>
    <w:p>
      <w:pPr>
        <w:pStyle w:val="Style22"/>
        <w:spacing w:before="360" w:after="120"/>
        <w:rPr>
          <w:rStyle w:val="Style8"/>
          <w:i w:val="false"/>
          <w:i w:val="false"/>
          <w:iCs w:val="false"/>
          <w:shd w:fill="auto" w:val="clear"/>
        </w:rPr>
      </w:pPr>
      <w:bookmarkStart w:id="383" w:name="_Toc228877257"/>
      <w:bookmarkStart w:id="384" w:name="_Hlk132891087"/>
      <w:r>
        <w:rPr>
          <w:rStyle w:val="Style8"/>
          <w:i w:val="false"/>
          <w:iCs w:val="false"/>
          <w:shd w:fill="auto" w:val="clear"/>
        </w:rPr>
        <w:t>Отборочные критерии рассмотрения вторых частей заявок</w:t>
      </w:r>
      <w:bookmarkEnd w:id="383"/>
      <w:bookmarkEnd w:id="384"/>
    </w:p>
    <w:tbl>
      <w:tblPr>
        <w:tblStyle w:val="af9"/>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отборочного критерия</w:t>
            </w:r>
          </w:p>
        </w:tc>
        <w:tc>
          <w:tcPr>
            <w:tcW w:w="3117"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9918" w:type="dxa"/>
            <w:gridSpan w:val="2"/>
            <w:tcBorders/>
          </w:tcPr>
          <w:p>
            <w:pPr>
              <w:pStyle w:val="Style27"/>
              <w:keepNext w:val="true"/>
              <w:widowControl w:val="false"/>
              <w:suppressAutoHyphens w:val="true"/>
              <w:spacing w:before="60" w:after="60"/>
              <w:rPr>
                <w:b/>
                <w:bCs/>
              </w:rPr>
            </w:pPr>
            <w:r>
              <w:rPr>
                <w:rFonts w:eastAsia="Calibri" w:cs=""/>
                <w:b/>
                <w:bCs/>
                <w:kern w:val="0"/>
                <w:sz w:val="26"/>
                <w:szCs w:val="22"/>
                <w:lang w:val="ru-RU" w:eastAsia="en-US" w:bidi="ar-SA"/>
              </w:rPr>
              <w:t>Состав и правильность оформления второй части заявки, в том числе:</w:t>
            </w:r>
          </w:p>
        </w:tc>
        <w:tc>
          <w:tcPr>
            <w:tcW w:w="3117" w:type="dxa"/>
            <w:tcBorders/>
          </w:tcPr>
          <w:p>
            <w:pPr>
              <w:pStyle w:val="Style27"/>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7"/>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7"/>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Наличие в составе второй части заявки всех обязательных к предоставлению (для целей рассмотрения вторых частей заявок в рамках отборочной стадии) документов в соответствии с требованиями </w:t>
            </w:r>
            <w:hyperlink w:anchor="Прил06_СоставЗаявки">
              <w:r>
                <w:rPr>
                  <w:rStyle w:val="Style11"/>
                  <w:rFonts w:eastAsia="Calibri" w:cs=""/>
                  <w:kern w:val="0"/>
                  <w:sz w:val="26"/>
                  <w:szCs w:val="22"/>
                  <w:lang w:val="ru-RU" w:eastAsia="en-US" w:bidi="ar-SA"/>
                </w:rPr>
                <w:t>Приложения № 6 «Состав заявки»</w:t>
              </w:r>
            </w:hyperlink>
            <w:r>
              <w:rPr>
                <w:rFonts w:eastAsia="Calibri" w:cs=""/>
                <w:kern w:val="0"/>
                <w:sz w:val="26"/>
                <w:szCs w:val="22"/>
                <w:lang w:val="ru-RU" w:eastAsia="en-US" w:bidi="ar-SA"/>
              </w:rPr>
              <w:t>, а также правильность их оформления (в т.ч. в части наличия должных печатей, подписей, формы заверения, языка и валюты заявки)</w:t>
            </w:r>
          </w:p>
        </w:tc>
        <w:tc>
          <w:tcPr>
            <w:tcW w:w="3117" w:type="dxa"/>
            <w:tcBorders/>
          </w:tcPr>
          <w:p>
            <w:pPr>
              <w:pStyle w:val="Style27"/>
              <w:widowControl w:val="false"/>
              <w:suppressAutoHyphens w:val="true"/>
              <w:spacing w:before="60" w:after="60"/>
              <w:jc w:val="center"/>
              <w:rPr>
                <w:rStyle w:val="Style11"/>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4.6</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6_СоставЗаявки">
              <w:r>
                <w:rPr>
                  <w:rStyle w:val="Style11"/>
                  <w:rFonts w:eastAsia="Calibri" w:cs=""/>
                  <w:kern w:val="0"/>
                  <w:sz w:val="26"/>
                  <w:szCs w:val="22"/>
                  <w:lang w:val="ru-RU" w:eastAsia="en-US" w:bidi="ar-SA"/>
                </w:rPr>
                <w:t>Приложение № 6</w:t>
              </w:r>
            </w:hyperlink>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br/>
              <w:t>Юр</w:t>
            </w:r>
          </w:p>
        </w:tc>
      </w:tr>
      <w:tr>
        <w:trPr/>
        <w:tc>
          <w:tcPr>
            <w:tcW w:w="1412" w:type="dxa"/>
            <w:tcBorders/>
          </w:tcPr>
          <w:p>
            <w:pPr>
              <w:pStyle w:val="Style27"/>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85" w:name="_Ref132890414"/>
            <w:bookmarkStart w:id="386" w:name="_Ref132890414"/>
            <w:bookmarkEnd w:id="386"/>
          </w:p>
        </w:tc>
        <w:tc>
          <w:tcPr>
            <w:tcW w:w="850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Наличие обеспечения обязательств Участника, связанного с подачей заявки, в виде независимой гарантии и ее соответствие установленным требованиям Документации о закупке – если подразделом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предусмотрена обязанность Участников предоставить обеспечение заявки на участие в закупке и в случае отсутствия внесение денежных средств на специальный банковский счет, открытый Участником в банке, включенном в перечень, определенный Правительством Российской Федерации в соответствии с Законом 44-ФЗ</w:t>
            </w:r>
          </w:p>
        </w:tc>
        <w:tc>
          <w:tcPr>
            <w:tcW w:w="3117"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_Ref130455226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4.21</w:t>
            </w:r>
            <w:r>
              <w:rPr>
                <w:sz w:val="26"/>
                <w:kern w:val="0"/>
                <w:szCs w:val="22"/>
                <w:rFonts w:eastAsia="Calibri" w:cs=""/>
                <w:lang w:val="ru-RU" w:eastAsia="en-US" w:bidi="ar-SA"/>
              </w:rPr>
              <w:fldChar w:fldCharType="end"/>
            </w:r>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 в части наличия сведений в реестре,</w:t>
            </w:r>
          </w:p>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Фин – в части соответствия</w:t>
            </w:r>
          </w:p>
        </w:tc>
      </w:tr>
      <w:tr>
        <w:trPr/>
        <w:tc>
          <w:tcPr>
            <w:tcW w:w="1412" w:type="dxa"/>
            <w:tcBorders/>
          </w:tcPr>
          <w:p>
            <w:pPr>
              <w:pStyle w:val="Style27"/>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Отсутствие в материалах (документах) второй части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w:t>
            </w:r>
          </w:p>
        </w:tc>
        <w:tc>
          <w:tcPr>
            <w:tcW w:w="3117"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br/>
              <w:t>Юр</w:t>
            </w:r>
          </w:p>
        </w:tc>
      </w:tr>
      <w:tr>
        <w:trPr/>
        <w:tc>
          <w:tcPr>
            <w:tcW w:w="9918" w:type="dxa"/>
            <w:gridSpan w:val="2"/>
            <w:tcBorders/>
          </w:tcPr>
          <w:p>
            <w:pPr>
              <w:pStyle w:val="Style27"/>
              <w:keepNext w:val="true"/>
              <w:widowControl w:val="false"/>
              <w:suppressAutoHyphens w:val="true"/>
              <w:spacing w:before="60" w:after="60"/>
              <w:rPr>
                <w:b/>
                <w:bCs/>
              </w:rPr>
            </w:pPr>
            <w:r>
              <w:rPr>
                <w:rFonts w:eastAsia="Calibri" w:cs=""/>
                <w:b/>
                <w:bCs/>
                <w:kern w:val="0"/>
                <w:sz w:val="26"/>
                <w:szCs w:val="22"/>
                <w:lang w:val="ru-RU" w:eastAsia="en-US" w:bidi="ar-SA"/>
              </w:rPr>
              <w:t>Соответствие Письма о подаче оферты:</w:t>
            </w:r>
          </w:p>
        </w:tc>
        <w:tc>
          <w:tcPr>
            <w:tcW w:w="3117" w:type="dxa"/>
            <w:tcBorders/>
          </w:tcPr>
          <w:p>
            <w:pPr>
              <w:pStyle w:val="Style27"/>
              <w:keepNext w:val="true"/>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90" w:type="dxa"/>
            <w:tcBorders/>
          </w:tcPr>
          <w:p>
            <w:pPr>
              <w:pStyle w:val="Style27"/>
              <w:keepNext w:val="true"/>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12" w:type="dxa"/>
            <w:tcBorders/>
          </w:tcPr>
          <w:p>
            <w:pPr>
              <w:pStyle w:val="Style27"/>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(в том числе содержание) Письма о подаче оферты установленной форме и иным требованиям Документации о закупке, в т.ч. в части срока действия заявки</w:t>
            </w:r>
          </w:p>
        </w:tc>
        <w:tc>
          <w:tcPr>
            <w:tcW w:w="3117"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4_ФормыЗаявки">
              <w:r>
                <w:rPr>
                  <w:rStyle w:val="Style11"/>
                  <w:rFonts w:eastAsia="Calibri" w:cs=""/>
                  <w:kern w:val="0"/>
                  <w:sz w:val="26"/>
                  <w:szCs w:val="22"/>
                  <w:lang w:val="ru-RU" w:eastAsia="en-US" w:bidi="ar-SA"/>
                </w:rPr>
                <w:t>Приложение № 4</w:t>
              </w:r>
            </w:hyperlink>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9918" w:type="dxa"/>
            <w:gridSpan w:val="2"/>
            <w:tcBorders/>
          </w:tcPr>
          <w:p>
            <w:pPr>
              <w:pStyle w:val="Style27"/>
              <w:keepNext w:val="true"/>
              <w:widowControl w:val="false"/>
              <w:suppressAutoHyphens w:val="true"/>
              <w:spacing w:before="60" w:after="60"/>
              <w:rPr>
                <w:b/>
                <w:bCs/>
              </w:rPr>
            </w:pPr>
            <w:r>
              <w:rPr>
                <w:rFonts w:eastAsia="Calibri" w:cs=""/>
                <w:b/>
                <w:bCs/>
                <w:kern w:val="0"/>
                <w:sz w:val="26"/>
                <w:szCs w:val="22"/>
                <w:lang w:val="ru-RU" w:eastAsia="en-US" w:bidi="ar-SA"/>
              </w:rPr>
              <w:t>Соответствие Участника установленным требованиям Документации о закупке, в том числе:</w:t>
            </w:r>
          </w:p>
        </w:tc>
        <w:tc>
          <w:tcPr>
            <w:tcW w:w="3117" w:type="dxa"/>
            <w:tcBorders/>
          </w:tcPr>
          <w:p>
            <w:pPr>
              <w:pStyle w:val="Style27"/>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7"/>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7"/>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_Ref125552433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27"/>
              <w:widowControl w:val="false"/>
              <w:suppressAutoHyphens w:val="true"/>
              <w:spacing w:before="60" w:after="60"/>
              <w:rPr>
                <w:i/>
                <w:i/>
                <w:iCs/>
              </w:rPr>
            </w:pPr>
            <w:r>
              <w:rPr>
                <w:rFonts w:eastAsia="Calibri" w:cs=""/>
                <w:i/>
                <w:iCs/>
                <w:kern w:val="0"/>
                <w:sz w:val="26"/>
                <w:szCs w:val="22"/>
                <w:lang w:val="ru-RU" w:eastAsia="en-US" w:bidi="ar-SA"/>
              </w:rPr>
              <w:t>(в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его аккредитации (при 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_Ref138341423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5.2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Юр</w:t>
            </w:r>
          </w:p>
        </w:tc>
      </w:tr>
      <w:tr>
        <w:trPr/>
        <w:tc>
          <w:tcPr>
            <w:tcW w:w="1412" w:type="dxa"/>
            <w:tcBorders/>
          </w:tcPr>
          <w:p>
            <w:pPr>
              <w:pStyle w:val="Style27"/>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_Ref132893662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tc>
        <w:tc>
          <w:tcPr>
            <w:tcW w:w="3117"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1412" w:type="dxa"/>
            <w:tcBorders/>
          </w:tcPr>
          <w:p>
            <w:pPr>
              <w:pStyle w:val="Style27"/>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3 обязательных требований к Участникам</w:t>
            </w:r>
          </w:p>
        </w:tc>
        <w:tc>
          <w:tcPr>
            <w:tcW w:w="3117"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1412" w:type="dxa"/>
            <w:tcBorders/>
          </w:tcPr>
          <w:p>
            <w:pPr>
              <w:pStyle w:val="Style27"/>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_Ref186184202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27"/>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запрета закупки иностранной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_Ref149648944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4.17</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_Ref186183588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4.17</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7"/>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_Ref186184207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27"/>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ограничения закупки иностранной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_Ref149648944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4.17</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_Ref186183588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4.17</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7"/>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специальным требованиям к Участникам</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_Ref125361442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7"/>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Генерального подрядчика установленным в отношении его требованиям:</w:t>
            </w:r>
          </w:p>
          <w:p>
            <w:pPr>
              <w:pStyle w:val="Style27"/>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проведения закупки, принять участие в которой можно от лица Генерального подрядчика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_Ref125359973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1.2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_Ref125361702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3.2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 и заявка подана от его лица)</w:t>
            </w:r>
          </w:p>
        </w:tc>
        <w:tc>
          <w:tcPr>
            <w:tcW w:w="3117"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12" w:type="dxa"/>
            <w:tcBorders/>
          </w:tcPr>
          <w:p>
            <w:pPr>
              <w:pStyle w:val="Style27"/>
              <w:widowControl w:val="false"/>
              <w:numPr>
                <w:ilvl w:val="1"/>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numPr>
                <w:ilvl w:val="0"/>
                <w:numId w:val="7"/>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пунктов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_Ref125370187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_Ref125553847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w:t>
            </w:r>
            <w:r>
              <w:rPr>
                <w:sz w:val="26"/>
                <w:kern w:val="0"/>
                <w:szCs w:val="22"/>
                <w:rFonts w:eastAsia="Calibri" w:cs=""/>
                <w:lang w:val="ru-RU" w:eastAsia="en-US" w:bidi="ar-SA"/>
              </w:rPr>
              <w:fldChar w:fldCharType="end"/>
            </w:r>
          </w:p>
        </w:tc>
        <w:tc>
          <w:tcPr>
            <w:tcW w:w="3117"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7"/>
              <w:widowControl w:val="false"/>
              <w:numPr>
                <w:ilvl w:val="1"/>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numPr>
                <w:ilvl w:val="0"/>
                <w:numId w:val="7"/>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_Ref125370193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p>
        </w:tc>
        <w:tc>
          <w:tcPr>
            <w:tcW w:w="3117"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r>
          </w:p>
        </w:tc>
      </w:tr>
      <w:tr>
        <w:trPr/>
        <w:tc>
          <w:tcPr>
            <w:tcW w:w="9918" w:type="dxa"/>
            <w:gridSpan w:val="2"/>
            <w:tcBorders/>
          </w:tcPr>
          <w:p>
            <w:pPr>
              <w:pStyle w:val="Style27"/>
              <w:keepNext w:val="true"/>
              <w:widowControl w:val="false"/>
              <w:suppressAutoHyphens w:val="true"/>
              <w:spacing w:before="60" w:after="60"/>
              <w:rPr>
                <w:b/>
                <w:bCs/>
              </w:rPr>
            </w:pPr>
            <w:r>
              <w:rPr>
                <w:rFonts w:eastAsia="Calibri" w:cs=""/>
                <w:b/>
                <w:bCs/>
                <w:kern w:val="0"/>
                <w:sz w:val="26"/>
                <w:szCs w:val="22"/>
                <w:lang w:val="ru-RU" w:eastAsia="en-US" w:bidi="ar-SA"/>
              </w:rPr>
              <w:t xml:space="preserve">Соответствие Технического предложения Участника </w:t>
            </w:r>
            <w:hyperlink w:anchor="Прил01_ТехТребования">
              <w:r>
                <w:rPr>
                  <w:rStyle w:val="Style11"/>
                  <w:rFonts w:eastAsia="Calibri" w:cs=""/>
                  <w:b/>
                  <w:bCs/>
                  <w:kern w:val="0"/>
                  <w:sz w:val="26"/>
                  <w:szCs w:val="22"/>
                  <w:lang w:val="ru-RU" w:eastAsia="en-US" w:bidi="ar-SA"/>
                </w:rPr>
                <w:t>Техническим требованиям (Приложение № 1)</w:t>
              </w:r>
            </w:hyperlink>
            <w:r>
              <w:rPr>
                <w:rFonts w:eastAsia="Calibri" w:cs=""/>
                <w:b/>
                <w:bCs/>
                <w:kern w:val="0"/>
                <w:sz w:val="26"/>
                <w:szCs w:val="22"/>
                <w:lang w:val="ru-RU" w:eastAsia="en-US" w:bidi="ar-SA"/>
              </w:rPr>
              <w:t>, в том числе:</w:t>
            </w:r>
          </w:p>
        </w:tc>
        <w:tc>
          <w:tcPr>
            <w:tcW w:w="3117" w:type="dxa"/>
            <w:tcBorders/>
          </w:tcPr>
          <w:p>
            <w:pPr>
              <w:pStyle w:val="Style27"/>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7"/>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7"/>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предложения требованиям к стране происхождения поставляемого товара, установленным в Технических требованиях</w:t>
            </w:r>
          </w:p>
          <w:p>
            <w:pPr>
              <w:pStyle w:val="Style27"/>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исполнения Заказчиком норм в части минимальной обязательной доли закупок товаров российского происхождения (подраздел</w:t>
            </w:r>
            <w:r>
              <w:rPr>
                <w:rFonts w:eastAsia="Calibri" w:cs=""/>
                <w:i/>
                <w:iCs/>
                <w:kern w:val="0"/>
                <w:sz w:val="26"/>
                <w:szCs w:val="22"/>
                <w:lang w:val="en-US" w:eastAsia="en-US" w:bidi="ar-SA"/>
              </w:rPr>
              <w:t> </w:t>
            </w:r>
            <w:r>
              <w:rPr>
                <w:rFonts w:eastAsia="Calibri" w:cs=""/>
                <w:i/>
                <w:iCs/>
                <w:kern w:val="0"/>
                <w:sz w:val="26"/>
                <w:szCs w:val="22"/>
                <w:lang w:val="en-US" w:eastAsia="en-US" w:bidi="ar-SA"/>
              </w:rPr>
              <w:fldChar w:fldCharType="begin"/>
            </w:r>
            <w:r>
              <w:rPr>
                <w:sz w:val="26"/>
                <w:i/>
                <w:kern w:val="0"/>
                <w:szCs w:val="22"/>
                <w:iCs/>
                <w:rFonts w:eastAsia="Calibri" w:cs=""/>
                <w:lang w:val="en-US" w:eastAsia="en-US" w:bidi="ar-SA"/>
              </w:rPr>
              <w:instrText xml:space="preserve"> REF _Ref186183588 \r \h </w:instrText>
            </w:r>
            <w:r>
              <w:rPr>
                <w:sz w:val="26"/>
                <w:i/>
                <w:kern w:val="0"/>
                <w:szCs w:val="22"/>
                <w:iCs/>
                <w:rFonts w:eastAsia="Calibri" w:cs=""/>
                <w:lang w:val="en-US" w:eastAsia="en-US" w:bidi="ar-SA"/>
              </w:rPr>
              <w:fldChar w:fldCharType="separate"/>
            </w:r>
            <w:r>
              <w:rPr>
                <w:sz w:val="26"/>
                <w:i/>
                <w:kern w:val="0"/>
                <w:szCs w:val="22"/>
                <w:iCs/>
                <w:rFonts w:eastAsia="Calibri" w:cs=""/>
                <w:lang w:val="en-US" w:eastAsia="en-US" w:bidi="ar-SA"/>
              </w:rPr>
              <w:t>4.17</w:t>
            </w:r>
            <w:r>
              <w:rPr>
                <w:sz w:val="26"/>
                <w:i/>
                <w:kern w:val="0"/>
                <w:szCs w:val="22"/>
                <w:iCs/>
                <w:rFonts w:eastAsia="Calibri" w:cs=""/>
                <w:lang w:val="en-US" w:eastAsia="en-US" w:bidi="ar-SA"/>
              </w:rPr>
              <w:fldChar w:fldCharType="end"/>
            </w:r>
            <w:r>
              <w:rPr>
                <w:rFonts w:eastAsia="Calibri" w:cs=""/>
                <w:i/>
                <w:iCs/>
                <w:kern w:val="0"/>
                <w:sz w:val="26"/>
                <w:szCs w:val="22"/>
                <w:lang w:val="ru-RU" w:eastAsia="en-US" w:bidi="ar-SA"/>
              </w:rPr>
              <w:t>))</w:t>
            </w:r>
          </w:p>
        </w:tc>
        <w:tc>
          <w:tcPr>
            <w:tcW w:w="3117"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подразделы</w:t>
            </w:r>
            <w:r>
              <w:rPr>
                <w:rFonts w:eastAsia="Calibri" w:cs=""/>
                <w:kern w:val="0"/>
                <w:sz w:val="26"/>
                <w:szCs w:val="22"/>
                <w:lang w:val="en-US" w:eastAsia="en-US" w:bidi="ar-SA"/>
              </w:rPr>
              <w:t> </w:t>
            </w:r>
            <w:r>
              <w:rPr>
                <w:rFonts w:eastAsia="Calibri" w:cs=""/>
                <w:kern w:val="0"/>
                <w:sz w:val="26"/>
                <w:szCs w:val="22"/>
                <w:lang w:val="en-US" w:eastAsia="en-US" w:bidi="ar-SA"/>
              </w:rPr>
              <w:fldChar w:fldCharType="begin"/>
            </w:r>
            <w:r>
              <w:rPr>
                <w:sz w:val="26"/>
                <w:kern w:val="0"/>
                <w:szCs w:val="22"/>
                <w:rFonts w:eastAsia="Calibri" w:cs=""/>
                <w:lang w:val="en-US" w:eastAsia="en-US" w:bidi="ar-SA"/>
              </w:rPr>
              <w:instrText xml:space="preserve"> REF _Ref130281199 \r \h </w:instrText>
            </w:r>
            <w:r>
              <w:rPr>
                <w:sz w:val="26"/>
                <w:kern w:val="0"/>
                <w:szCs w:val="22"/>
                <w:rFonts w:eastAsia="Calibri" w:cs=""/>
                <w:lang w:val="en-US" w:eastAsia="en-US" w:bidi="ar-SA"/>
              </w:rPr>
              <w:fldChar w:fldCharType="separate"/>
            </w:r>
            <w:r>
              <w:rPr>
                <w:sz w:val="26"/>
                <w:kern w:val="0"/>
                <w:szCs w:val="22"/>
                <w:rFonts w:eastAsia="Calibri" w:cs=""/>
                <w:lang w:val="en-US" w:eastAsia="en-US" w:bidi="ar-SA"/>
              </w:rPr>
              <w:t>4.3</w:t>
            </w:r>
            <w:r>
              <w:rPr>
                <w:sz w:val="26"/>
                <w:kern w:val="0"/>
                <w:szCs w:val="22"/>
                <w:rFonts w:eastAsia="Calibri" w:cs=""/>
                <w:lang w:val="en-US"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_Ref186183588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4.17</w:t>
            </w:r>
            <w:r>
              <w:rPr>
                <w:sz w:val="26"/>
                <w:kern w:val="0"/>
                <w:szCs w:val="22"/>
                <w:rFonts w:eastAsia="Calibri" w:cs=""/>
                <w:lang w:val="ru-RU" w:eastAsia="en-US" w:bidi="ar-SA"/>
              </w:rPr>
              <w:fldChar w:fldCharType="end"/>
            </w:r>
            <w:r>
              <w:rPr>
                <w:rFonts w:eastAsia="Calibri" w:cs=""/>
                <w:kern w:val="0"/>
                <w:sz w:val="26"/>
                <w:szCs w:val="22"/>
                <w:lang w:val="en-US" w:eastAsia="en-US" w:bidi="ar-SA"/>
              </w:rPr>
              <w:br/>
            </w: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7"/>
              <w:widowControl w:val="false"/>
              <w:numPr>
                <w:ilvl w:val="0"/>
                <w:numId w:val="10"/>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Соответствие предлагаемой к поставке продукции иным требованиям, установленным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с предоставлением требуемых подтверждающих документов</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7"/>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bl>
    <w:p>
      <w:pPr>
        <w:pStyle w:val="Style22"/>
        <w:spacing w:before="360" w:after="120"/>
        <w:rPr>
          <w:rStyle w:val="Style8"/>
          <w:i w:val="false"/>
          <w:i w:val="false"/>
          <w:iCs w:val="false"/>
          <w:shd w:fill="auto" w:val="clear"/>
        </w:rPr>
      </w:pPr>
      <w:bookmarkStart w:id="387" w:name="_Toc228877258"/>
      <w:r>
        <w:rPr>
          <w:rStyle w:val="Style8"/>
          <w:i w:val="false"/>
          <w:iCs w:val="false"/>
          <w:shd w:fill="auto" w:val="clear"/>
        </w:rPr>
        <w:t>Отборочные критерии рассмотрения ценовых предложений</w:t>
      </w:r>
      <w:bookmarkEnd w:id="387"/>
    </w:p>
    <w:tbl>
      <w:tblPr>
        <w:tblStyle w:val="af9"/>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отборочного критерия</w:t>
            </w:r>
          </w:p>
        </w:tc>
        <w:tc>
          <w:tcPr>
            <w:tcW w:w="3117"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9918" w:type="dxa"/>
            <w:gridSpan w:val="2"/>
            <w:tcBorders/>
          </w:tcPr>
          <w:p>
            <w:pPr>
              <w:pStyle w:val="Style27"/>
              <w:keepNext w:val="true"/>
              <w:widowControl w:val="false"/>
              <w:suppressAutoHyphens w:val="true"/>
              <w:spacing w:before="60" w:after="60"/>
              <w:rPr>
                <w:b/>
                <w:bCs/>
              </w:rPr>
            </w:pPr>
            <w:r>
              <w:rPr>
                <w:rFonts w:eastAsia="Calibri" w:cs=""/>
                <w:b/>
                <w:bCs/>
                <w:kern w:val="0"/>
                <w:sz w:val="26"/>
                <w:szCs w:val="22"/>
                <w:lang w:val="ru-RU" w:eastAsia="en-US" w:bidi="ar-SA"/>
              </w:rPr>
              <w:t>Состав, содержание и правильность оформления ценового предложения, в том числе:</w:t>
            </w:r>
          </w:p>
        </w:tc>
        <w:tc>
          <w:tcPr>
            <w:tcW w:w="3117" w:type="dxa"/>
            <w:tcBorders/>
          </w:tcPr>
          <w:p>
            <w:pPr>
              <w:pStyle w:val="Style27"/>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7"/>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7"/>
              <w:widowControl w:val="false"/>
              <w:numPr>
                <w:ilvl w:val="0"/>
                <w:numId w:val="11"/>
              </w:numPr>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Соответствие ценового предложения по составу требованиям </w:t>
            </w:r>
            <w:hyperlink w:anchor="Прил06_СоставЗаявки">
              <w:r>
                <w:rPr>
                  <w:rStyle w:val="Style11"/>
                  <w:rFonts w:eastAsia="Calibri" w:cs=""/>
                  <w:kern w:val="0"/>
                  <w:sz w:val="26"/>
                  <w:szCs w:val="22"/>
                  <w:lang w:val="ru-RU" w:eastAsia="en-US" w:bidi="ar-SA"/>
                </w:rPr>
                <w:t>Приложения № 6 «Состав заявки»</w:t>
              </w:r>
            </w:hyperlink>
            <w:r>
              <w:rPr>
                <w:rFonts w:eastAsia="Calibri" w:cs=""/>
                <w:kern w:val="0"/>
                <w:sz w:val="26"/>
                <w:szCs w:val="22"/>
                <w:lang w:val="ru-RU" w:eastAsia="en-US" w:bidi="ar-SA"/>
              </w:rPr>
              <w:t>, а также правильности оформления документов, входящих в его состав, в том числе установленной форме и иным и иным требованиям Документации о закупке (в т.ч. в части языка и валюты заявки)</w:t>
            </w:r>
          </w:p>
        </w:tc>
        <w:tc>
          <w:tcPr>
            <w:tcW w:w="3117"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4.6</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1_ТехТребования">
              <w:r>
                <w:rPr>
                  <w:rStyle w:val="Style11"/>
                  <w:rFonts w:eastAsia="Calibri" w:cs=""/>
                  <w:kern w:val="0"/>
                  <w:sz w:val="26"/>
                  <w:szCs w:val="22"/>
                  <w:lang w:val="ru-RU" w:eastAsia="en-US" w:bidi="ar-SA"/>
                </w:rPr>
                <w:t>Приложение № 1</w:t>
              </w:r>
            </w:hyperlink>
            <w:r>
              <w:rPr>
                <w:rFonts w:eastAsia="Calibri" w:cs=""/>
                <w:kern w:val="0"/>
                <w:sz w:val="26"/>
                <w:szCs w:val="22"/>
                <w:lang w:val="ru-RU" w:eastAsia="en-US" w:bidi="ar-SA"/>
              </w:rPr>
              <w:t>,</w:t>
            </w:r>
          </w:p>
          <w:p>
            <w:pPr>
              <w:pStyle w:val="Style27"/>
              <w:widowControl w:val="false"/>
              <w:suppressAutoHyphens w:val="true"/>
              <w:spacing w:before="60" w:after="60"/>
              <w:jc w:val="center"/>
              <w:rPr>
                <w:rStyle w:val="Style11"/>
              </w:rPr>
            </w:pPr>
            <w:hyperlink w:anchor="Прил06_СоставЗаявки">
              <w:r>
                <w:rPr>
                  <w:rStyle w:val="Style11"/>
                  <w:rFonts w:eastAsia="Calibri" w:cs=""/>
                  <w:kern w:val="0"/>
                  <w:sz w:val="26"/>
                  <w:szCs w:val="22"/>
                  <w:lang w:val="ru-RU" w:eastAsia="en-US" w:bidi="ar-SA"/>
                </w:rPr>
                <w:t>Приложение № 6</w:t>
              </w:r>
            </w:hyperlink>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r>
        <w:trPr/>
        <w:tc>
          <w:tcPr>
            <w:tcW w:w="1412" w:type="dxa"/>
            <w:tcBorders/>
          </w:tcPr>
          <w:p>
            <w:pPr>
              <w:pStyle w:val="Style27"/>
              <w:widowControl w:val="false"/>
              <w:numPr>
                <w:ilvl w:val="0"/>
                <w:numId w:val="11"/>
              </w:numPr>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Отсутствие в материалах (документов) ценового предложения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w:t>
            </w:r>
          </w:p>
        </w:tc>
        <w:tc>
          <w:tcPr>
            <w:tcW w:w="3117"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_Ref149656148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4.14</w:t>
            </w:r>
            <w:r>
              <w:rPr>
                <w:sz w:val="26"/>
                <w:kern w:val="0"/>
                <w:szCs w:val="22"/>
                <w:rFonts w:eastAsia="Calibri" w:cs=""/>
                <w:lang w:val="ru-RU" w:eastAsia="en-US" w:bidi="ar-SA"/>
              </w:rPr>
              <w:fldChar w:fldCharType="end"/>
            </w:r>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r>
        <w:trPr/>
        <w:tc>
          <w:tcPr>
            <w:tcW w:w="9918" w:type="dxa"/>
            <w:gridSpan w:val="2"/>
            <w:tcBorders/>
          </w:tcPr>
          <w:p>
            <w:pPr>
              <w:pStyle w:val="Style27"/>
              <w:keepNext w:val="true"/>
              <w:widowControl w:val="false"/>
              <w:suppressAutoHyphens w:val="true"/>
              <w:spacing w:before="60" w:after="60"/>
              <w:rPr>
                <w:b/>
                <w:bCs/>
              </w:rPr>
            </w:pPr>
            <w:r>
              <w:rPr>
                <w:rFonts w:eastAsia="Calibri" w:cs=""/>
                <w:b/>
                <w:bCs/>
                <w:kern w:val="0"/>
                <w:sz w:val="26"/>
                <w:szCs w:val="22"/>
                <w:lang w:val="ru-RU" w:eastAsia="en-US" w:bidi="ar-SA"/>
              </w:rPr>
              <w:t>Соответствие Коммерческого предложения Участника требованиям Документации о закупке, в том числе:</w:t>
            </w:r>
          </w:p>
        </w:tc>
        <w:tc>
          <w:tcPr>
            <w:tcW w:w="3117" w:type="dxa"/>
            <w:tcBorders/>
          </w:tcPr>
          <w:p>
            <w:pPr>
              <w:pStyle w:val="Style27"/>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7"/>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7"/>
              <w:widowControl w:val="false"/>
              <w:numPr>
                <w:ilvl w:val="0"/>
                <w:numId w:val="11"/>
              </w:numPr>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bookmarkStart w:id="388" w:name="_Hlk209700351"/>
            <w:r>
              <w:rPr>
                <w:rFonts w:eastAsia="Calibri" w:cs=""/>
                <w:kern w:val="0"/>
                <w:sz w:val="26"/>
                <w:szCs w:val="22"/>
                <w:lang w:val="ru-RU" w:eastAsia="en-US" w:bidi="ar-SA"/>
              </w:rPr>
              <w:t>Соответствие Коммерческого предложения (оценка состава и правильности оформления документов; проверка отсутствия противоречий в представленных в составе Коммерческого предложения (и приложениях к нему) документах).</w:t>
            </w:r>
            <w:bookmarkEnd w:id="388"/>
          </w:p>
        </w:tc>
        <w:tc>
          <w:tcPr>
            <w:tcW w:w="3117"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_Ref149656148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4.14</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1"/>
                  <w:rFonts w:eastAsia="Calibri" w:cs=""/>
                  <w:kern w:val="0"/>
                  <w:sz w:val="26"/>
                  <w:szCs w:val="22"/>
                  <w:lang w:val="ru-RU" w:eastAsia="en-US" w:bidi="ar-SA"/>
                </w:rPr>
                <w:t>Приложение № 1</w:t>
              </w:r>
            </w:hyperlink>
            <w:r>
              <w:rPr>
                <w:rFonts w:eastAsia="Calibri" w:cs=""/>
                <w:kern w:val="0"/>
                <w:sz w:val="26"/>
                <w:szCs w:val="22"/>
                <w:lang w:val="ru-RU" w:eastAsia="en-US" w:bidi="ar-SA"/>
              </w:rPr>
              <w:t>,</w:t>
              <w:br/>
            </w:r>
            <w:hyperlink w:anchor="Прил04_ФормыЗаявки">
              <w:r>
                <w:rPr>
                  <w:rStyle w:val="Style11"/>
                  <w:rFonts w:eastAsia="Calibri" w:cs=""/>
                  <w:kern w:val="0"/>
                  <w:sz w:val="26"/>
                  <w:szCs w:val="22"/>
                  <w:lang w:val="ru-RU" w:eastAsia="en-US" w:bidi="ar-SA"/>
                </w:rPr>
                <w:t>Приложение № 4</w:t>
              </w:r>
            </w:hyperlink>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r>
        <w:trPr/>
        <w:tc>
          <w:tcPr>
            <w:tcW w:w="1412" w:type="dxa"/>
            <w:tcBorders/>
          </w:tcPr>
          <w:p>
            <w:pPr>
              <w:pStyle w:val="Style27"/>
              <w:widowControl w:val="false"/>
              <w:numPr>
                <w:ilvl w:val="0"/>
                <w:numId w:val="11"/>
              </w:numPr>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pPr>
            <w:r>
              <w:rPr>
                <w:rFonts w:eastAsia="Calibri" w:cs=""/>
                <w:kern w:val="0"/>
                <w:sz w:val="26"/>
                <w:szCs w:val="22"/>
                <w:lang w:val="ru-RU" w:eastAsia="en-US" w:bidi="ar-SA"/>
              </w:rPr>
              <w:t>Соответствие предложения установленным законодательством требованиям к предоставлению национального режима, в том числе в части указания сведений, которые подтверждают страну происхождения товара в составе заявке в форме Коммерческого предложения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7"/>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запрета или ограничения закупки иностранной продукции, а также при исполнении Заказчиком норм в части минимальной обязательной доли закупок товаров российского происхождения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_Ref186183588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4.17</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_Ref130281199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_Ref186183588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4.17</w:t>
            </w:r>
            <w:r>
              <w:rPr>
                <w:sz w:val="26"/>
                <w:kern w:val="0"/>
                <w:szCs w:val="22"/>
                <w:rFonts w:eastAsia="Calibri" w:cs=""/>
                <w:lang w:val="ru-RU" w:eastAsia="en-US" w:bidi="ar-SA"/>
              </w:rPr>
              <w:fldChar w:fldCharType="end"/>
            </w:r>
          </w:p>
          <w:p>
            <w:pPr>
              <w:pStyle w:val="Style27"/>
              <w:widowControl w:val="false"/>
              <w:suppressAutoHyphens w:val="true"/>
              <w:spacing w:before="60" w:after="60"/>
              <w:jc w:val="center"/>
              <w:rPr/>
            </w:pP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br/>
              <w:t>(форма Коммерческого предложения)</w:t>
            </w:r>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7"/>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pPr>
            <w:r>
              <w:rPr>
                <w:rFonts w:eastAsia="Calibri" w:cs=""/>
                <w:kern w:val="0"/>
                <w:sz w:val="26"/>
                <w:szCs w:val="22"/>
                <w:lang w:val="ru-RU" w:eastAsia="en-US" w:bidi="ar-SA"/>
              </w:rPr>
              <w:t>Соответствие подтверждающей документации, прилагаемой к</w:t>
            </w:r>
            <w:r>
              <w:rPr>
                <w:rFonts w:eastAsia="Calibri" w:cs=""/>
                <w:kern w:val="0"/>
                <w:sz w:val="26"/>
                <w:szCs w:val="22"/>
                <w:lang w:val="en-US" w:eastAsia="en-US" w:bidi="ar-SA"/>
              </w:rPr>
              <w:t> </w:t>
            </w:r>
            <w:r>
              <w:rPr>
                <w:rFonts w:eastAsia="Calibri" w:cs=""/>
                <w:kern w:val="0"/>
                <w:sz w:val="26"/>
                <w:szCs w:val="22"/>
                <w:lang w:val="ru-RU" w:eastAsia="en-US" w:bidi="ar-SA"/>
              </w:rPr>
              <w:t>Коммерческому приложению (форма 3)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xml:space="preserve">) требованиям, указанным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p>
          <w:p>
            <w:pPr>
              <w:pStyle w:val="Style27"/>
              <w:widowControl w:val="false"/>
              <w:suppressAutoHyphens w:val="true"/>
              <w:spacing w:before="60" w:after="60"/>
              <w:rPr/>
            </w:pPr>
            <w:r>
              <w:rPr>
                <w:rFonts w:eastAsia="Calibri" w:cs=""/>
                <w:i/>
                <w:iCs/>
                <w:kern w:val="0"/>
                <w:sz w:val="26"/>
                <w:szCs w:val="22"/>
                <w:lang w:val="ru-RU" w:eastAsia="en-US" w:bidi="ar-SA"/>
              </w:rPr>
              <w:t xml:space="preserve">(пункт применяется только в случае установления соответствующих требований в </w:t>
            </w:r>
            <w:hyperlink w:anchor="Прил01_ТехТребования">
              <w:r>
                <w:rPr>
                  <w:rStyle w:val="Style11"/>
                  <w:rFonts w:eastAsia="Calibri" w:cs=""/>
                  <w:i/>
                  <w:iCs/>
                  <w:kern w:val="0"/>
                  <w:sz w:val="26"/>
                  <w:szCs w:val="22"/>
                  <w:lang w:val="ru-RU" w:eastAsia="en-US" w:bidi="ar-SA"/>
                </w:rPr>
                <w:t>Технических требованиях (Приложение № 1)</w:t>
              </w:r>
            </w:hyperlink>
            <w:r>
              <w:rPr>
                <w:rFonts w:eastAsia="Calibri" w:cs=""/>
                <w:i/>
                <w:iCs/>
                <w:kern w:val="0"/>
                <w:sz w:val="26"/>
                <w:szCs w:val="22"/>
                <w:lang w:val="ru-RU" w:eastAsia="en-US" w:bidi="ar-SA"/>
              </w:rPr>
              <w:t>)</w:t>
            </w:r>
          </w:p>
        </w:tc>
        <w:tc>
          <w:tcPr>
            <w:tcW w:w="3117" w:type="dxa"/>
            <w:tcBorders/>
          </w:tcPr>
          <w:p>
            <w:pPr>
              <w:pStyle w:val="Style27"/>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bl>
    <w:p>
      <w:pPr>
        <w:pStyle w:val="Style22"/>
        <w:rPr>
          <w:rStyle w:val="Style8"/>
          <w:i w:val="false"/>
          <w:i w:val="false"/>
          <w:iCs w:val="false"/>
          <w:shd w:fill="auto" w:val="clear"/>
        </w:rPr>
      </w:pPr>
      <w:bookmarkStart w:id="389" w:name="_Ref195009395"/>
      <w:bookmarkStart w:id="390" w:name="_Toc228877259"/>
      <w:r>
        <w:rPr>
          <w:rStyle w:val="Style8"/>
          <w:i w:val="false"/>
          <w:iCs w:val="false"/>
          <w:shd w:fill="auto" w:val="clear"/>
        </w:rPr>
        <w:t>Дополнительные критерии проверки заявок на соответствие условиям Документации о закупке</w:t>
      </w:r>
      <w:bookmarkEnd w:id="389"/>
      <w:bookmarkEnd w:id="390"/>
    </w:p>
    <w:p>
      <w:pPr>
        <w:pStyle w:val="Style27"/>
        <w:keepNext w:val="true"/>
        <w:spacing w:before="120" w:after="120"/>
        <w:rPr/>
      </w:pPr>
      <w:r>
        <w:rPr/>
        <w:t>Несоответствие одному или всем дополнительным критериям не является основанием для отклонения заявки.</w:t>
      </w:r>
    </w:p>
    <w:tbl>
      <w:tblPr>
        <w:tblStyle w:val="af9"/>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отборочного критерия</w:t>
            </w:r>
          </w:p>
        </w:tc>
        <w:tc>
          <w:tcPr>
            <w:tcW w:w="3117"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1412" w:type="dxa"/>
            <w:tcBorders/>
          </w:tcPr>
          <w:p>
            <w:pPr>
              <w:pStyle w:val="Style27"/>
              <w:widowControl w:val="false"/>
              <w:numPr>
                <w:ilvl w:val="0"/>
                <w:numId w:val="12"/>
              </w:numPr>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Возможность применения преимущества, 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преимущества российской продукции, в отношении заявки с российской продукцией (на поставку товара российского происхождения (в том числе поставляемого при выполнении работ, оказании услуг))</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 xml:space="preserve">(пункт применяется только в случае установления режима преимущества российской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_Ref186183588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4.17</w:t>
            </w:r>
            <w:r>
              <w:rPr>
                <w:sz w:val="26"/>
                <w:i/>
                <w:kern w:val="0"/>
                <w:szCs w:val="22"/>
                <w:iCs/>
                <w:rFonts w:eastAsia="Calibri" w:cs=""/>
                <w:lang w:val="ru-RU" w:eastAsia="en-US" w:bidi="ar-SA"/>
              </w:rPr>
              <w:fldChar w:fldCharType="end"/>
            </w:r>
            <w:r>
              <w:rPr>
                <w:rFonts w:eastAsia="Calibri" w:cs=""/>
                <w:kern w:val="0"/>
                <w:sz w:val="26"/>
                <w:szCs w:val="22"/>
                <w:lang w:val="ru-RU" w:eastAsia="en-US" w:bidi="ar-SA"/>
              </w:rPr>
              <w:t>))</w:t>
            </w:r>
          </w:p>
        </w:tc>
        <w:tc>
          <w:tcPr>
            <w:tcW w:w="3117"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_Ref186183588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4.17</w:t>
            </w:r>
            <w:r>
              <w:rPr>
                <w:sz w:val="26"/>
                <w:kern w:val="0"/>
                <w:szCs w:val="22"/>
                <w:rFonts w:eastAsia="Calibri" w:cs=""/>
                <w:lang w:val="ru-RU" w:eastAsia="en-US" w:bidi="ar-SA"/>
              </w:rPr>
              <w:fldChar w:fldCharType="end"/>
            </w:r>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bl>
    <w:p>
      <w:pPr>
        <w:pStyle w:val="Style27"/>
        <w:keepNext w:val="true"/>
        <w:tabs>
          <w:tab w:val="clear" w:pos="708"/>
          <w:tab w:val="left" w:pos="851" w:leader="none"/>
        </w:tabs>
        <w:spacing w:before="240" w:after="0"/>
        <w:rPr>
          <w:b/>
          <w:bCs/>
        </w:rPr>
      </w:pPr>
      <w:r>
        <w:rPr>
          <w:b/>
          <w:bCs/>
        </w:rPr>
        <w:t>* Направления оценки заявок:</w:t>
      </w:r>
    </w:p>
    <w:p>
      <w:pPr>
        <w:pStyle w:val="Style27"/>
        <w:tabs>
          <w:tab w:val="clear" w:pos="708"/>
          <w:tab w:val="left" w:pos="1134" w:leader="none"/>
        </w:tabs>
        <w:ind w:left="1701" w:hanging="1701"/>
        <w:rPr/>
      </w:pPr>
      <w:r>
        <w:rPr>
          <w:b/>
          <w:bCs/>
        </w:rPr>
        <w:t>Орг</w:t>
      </w:r>
      <w:r>
        <w:rPr/>
        <w:tab/>
        <w:t>–</w:t>
        <w:tab/>
        <w:t xml:space="preserve">проверка наличия в составе заявки необходимых документов для рассмотрения экспертом по своему направлению: проверка наличия в составе заявке и оценка правильности оформления Письма о подаче оферты; наличия обеспечения обязательств Участника, связанного с подачей заявки, в виде независимой гарантии (в том числе наличие сведений о ней в соответствующем реестре в ЕИС) – в случае отсутствия внесенных Участником денежных средств на специальный банковский счет </w:t>
      </w:r>
      <w:r>
        <w:rPr>
          <w:i/>
          <w:iCs/>
        </w:rPr>
        <w:t>(последние применяется только в случае установления соответствующих требований)</w:t>
      </w:r>
      <w:r>
        <w:rPr/>
        <w:t>; наличие у Участника статуса «аккредитован», либо статуса «аккредитация не требуется» (или наличие заявки на аккредитацию (при необходимости)), участвует в процедуре актуализации статуса аккредитации (при необходимости); проверка 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проверка наличия информации об Участнике в Реестре МСП (https://rmsp.nalog.ru/index.html),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 (https://npd.nalog.ru/check-status/);</w:t>
      </w:r>
    </w:p>
    <w:p>
      <w:pPr>
        <w:pStyle w:val="Style27"/>
        <w:tabs>
          <w:tab w:val="clear" w:pos="708"/>
          <w:tab w:val="left" w:pos="1134" w:leader="none"/>
        </w:tabs>
        <w:ind w:left="1701" w:hanging="1701"/>
        <w:rPr/>
      </w:pPr>
      <w:r>
        <w:rPr>
          <w:b/>
          <w:bCs/>
        </w:rPr>
        <w:t>Тех</w:t>
      </w:r>
      <w:r>
        <w:rPr/>
        <w:tab/>
        <w:t>–</w:t>
        <w:tab/>
        <w:t xml:space="preserve">проверка наличия в составе заявки всех необходимых документов для рассмотрения экспертом по своему направлению, а также правильности их оформления; </w:t>
      </w:r>
      <w:bookmarkStart w:id="391" w:name="_Hlk207815919"/>
      <w:r>
        <w:rPr/>
        <w:t>в целях применения законодательства о национальном режиме: а) при закупке товаров (в том числе поставляемых при выполнении работ, оказании услуг) – оценка сведений о стране происхождения предлагаемого к поставке товара; б) при закупке работ, услуг – оценка сведений о стране регистрации Участника (стране регистрации лица, согласно заявке выполняющего работу, оказывающего услугу)</w:t>
      </w:r>
      <w:bookmarkEnd w:id="391"/>
      <w:r>
        <w:rPr/>
        <w:t>;оценка Технических предложений и сведений, подтверждающих соответствия Участника специальным требованиям Документации о закупке; проверка технической части подтверждающей документации, прилагаемой к Коммерческому предложению (при наличии), а также, при необходимости, технических условий исполнения Договора;</w:t>
      </w:r>
    </w:p>
    <w:p>
      <w:pPr>
        <w:pStyle w:val="Style27"/>
        <w:tabs>
          <w:tab w:val="clear" w:pos="708"/>
          <w:tab w:val="left" w:pos="1134" w:leader="none"/>
        </w:tabs>
        <w:ind w:left="1701" w:hanging="1701"/>
        <w:rPr/>
      </w:pPr>
      <w:r>
        <w:rPr>
          <w:b/>
          <w:bCs/>
        </w:rPr>
        <w:t>Юр</w:t>
      </w:r>
      <w:r>
        <w:rPr/>
        <w:tab/>
        <w:t>–</w:t>
        <w:tab/>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 формы заверения, языка заявки); оценка юридических аспектов заявки, в том числе оценка правомочности подписанта доверенности (при необходимости) на основании выписки из ЕГРЮЛ (выписка из ЕГРЮЛ доступна на официальном сервисе ФНС России https://egrul.nalog.ru/index.html);</w:t>
      </w:r>
    </w:p>
    <w:p>
      <w:pPr>
        <w:pStyle w:val="Style27"/>
        <w:keepNext w:val="true"/>
        <w:tabs>
          <w:tab w:val="clear" w:pos="708"/>
          <w:tab w:val="left" w:pos="1134" w:leader="none"/>
        </w:tabs>
        <w:ind w:left="1701" w:hanging="1701"/>
        <w:rPr/>
      </w:pPr>
      <w:r>
        <w:rPr>
          <w:b/>
          <w:bCs/>
        </w:rPr>
        <w:t>Цена</w:t>
      </w:r>
      <w:r>
        <w:rPr/>
        <w:tab/>
        <w:t>–</w:t>
        <w:tab/>
      </w:r>
      <w:bookmarkStart w:id="392" w:name="_Hlk207816097"/>
      <w:r>
        <w:rPr/>
        <w:t xml:space="preserve">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языка и валюты заявки); проверка отсутствия противоречий в представленных в составе Коммерческого предложения (и приложениях к нему) документах; проверка соответствия подтверждающей документации (сметная документация и т.п.), прилагаемой к Коммерческому приложению, требованиям, указанным в Технических требованиях (при наличии такой документации и если ее предоставление требовалось в Документации о закупке), в том числе в части  </w:t>
      </w:r>
      <w:bookmarkEnd w:id="392"/>
      <w:r>
        <w:rPr/>
        <w:t>непревышения ценового предложения участника установленного размера НМЦ.</w:t>
      </w:r>
    </w:p>
    <w:p>
      <w:pPr>
        <w:pStyle w:val="Style27"/>
        <w:tabs>
          <w:tab w:val="clear" w:pos="708"/>
          <w:tab w:val="left" w:pos="1134" w:leader="none"/>
        </w:tabs>
        <w:ind w:left="1701" w:hanging="1701"/>
        <w:rPr/>
      </w:pPr>
      <w:r>
        <w:rPr>
          <w:b/>
          <w:bCs/>
        </w:rPr>
        <w:t>Фин</w:t>
      </w:r>
      <w:r>
        <w:rPr/>
        <w:tab/>
        <w:t>–</w:t>
        <w:tab/>
        <w:t xml:space="preserve">оценка независимой гарантии, в том числе правильность оформления рассматриваемых документов (в т.ч. в части наличия должных печатей, подписей формы заверения, языка и валюты заявки) </w:t>
      </w:r>
      <w:r>
        <w:rPr>
          <w:i/>
          <w:iCs/>
        </w:rPr>
        <w:t>(финансовая экспертиза проводится по инициативе эксперта по направлениям Орг, в случае наличия в заявке независимой гарантии)</w:t>
      </w:r>
      <w:r>
        <w:rPr/>
        <w:t>.</w:t>
      </w:r>
    </w:p>
    <w:p>
      <w:pPr>
        <w:sectPr>
          <w:headerReference w:type="default" r:id="rId26"/>
          <w:headerReference w:type="first" r:id="rId27"/>
          <w:footerReference w:type="default" r:id="rId28"/>
          <w:footerReference w:type="first" r:id="rId29"/>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27"/>
        <w:rPr/>
      </w:pPr>
      <w:r>
        <w:rPr/>
        <w:t>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материалов (документов), являющихся предметом его экспертизы).</w:t>
      </w:r>
    </w:p>
    <w:p>
      <w:pPr>
        <w:pStyle w:val="Style21"/>
        <w:rPr/>
      </w:pPr>
      <w:bookmarkStart w:id="393" w:name="_Ref125361648"/>
      <w:bookmarkStart w:id="394" w:name="_Ref125361951"/>
      <w:bookmarkStart w:id="395" w:name="_Ref125366013"/>
      <w:bookmarkStart w:id="396" w:name="_Ref125366280"/>
      <w:bookmarkStart w:id="397" w:name="_Ref125366285"/>
      <w:bookmarkStart w:id="398" w:name="_Ref125368140"/>
      <w:bookmarkStart w:id="399" w:name="_Ref125368150"/>
      <w:bookmarkStart w:id="400" w:name="_Ref125368165"/>
      <w:bookmarkStart w:id="401" w:name="_Ref125368172"/>
      <w:bookmarkStart w:id="402" w:name="_Ref125368184"/>
      <w:bookmarkStart w:id="403" w:name="_Ref125368283"/>
      <w:bookmarkStart w:id="404" w:name="_Ref125368291"/>
      <w:bookmarkStart w:id="405" w:name="_Ref125368302"/>
      <w:bookmarkStart w:id="406" w:name="_Ref125368313"/>
      <w:bookmarkStart w:id="407" w:name="_Ref125368331"/>
      <w:bookmarkStart w:id="408" w:name="_Ref125369021"/>
      <w:bookmarkStart w:id="409" w:name="_Ref125369438"/>
      <w:bookmarkStart w:id="410" w:name="_Toc228877260"/>
      <w:bookmarkStart w:id="411" w:name="Прил08_ПорядокОценки"/>
      <w:bookmarkEnd w:id="411"/>
      <w:r>
        <w:rPr/>
        <w:t>Приложение № 8 – Порядок и критерии оценки и сопоставления заявок</w:t>
      </w:r>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p>
    <w:p>
      <w:pPr>
        <w:pStyle w:val="Style22"/>
        <w:rPr/>
      </w:pPr>
      <w:bookmarkStart w:id="412" w:name="_Toc228877261"/>
      <w:r>
        <w:rPr/>
        <w:t>Порядок и критерии оценки и сопоставления заявок</w:t>
      </w:r>
      <w:bookmarkEnd w:id="412"/>
    </w:p>
    <w:p>
      <w:pPr>
        <w:pStyle w:val="Style23"/>
        <w:rPr/>
      </w:pPr>
      <w:r>
        <w:rPr/>
        <w:t>Оценка и сопоставление заявок, признанных Закупочной комиссией соответствующими по результатам рассмотрения заявок, осуществляется по единственному ценовому критерию – стоимость заявки (цена Договора) в едином базисе без учета НДС, с последующей ранжировкой заявок по мере повышения стоимости заявки (цены Договора). При этом первое место в ранжировке присваивается заявке с наименьшей ценой (расчетной ценой)</w:t>
      </w:r>
      <w:r>
        <w:rPr>
          <w:rStyle w:val="FootnoteReference"/>
        </w:rPr>
        <w:footnoteReference w:id="14"/>
      </w:r>
      <w:r>
        <w:rPr/>
        <w:t>.</w:t>
      </w:r>
    </w:p>
    <w:p>
      <w:pPr>
        <w:sectPr>
          <w:headerReference w:type="default" r:id="rId30"/>
          <w:headerReference w:type="first" r:id="rId31"/>
          <w:footerReference w:type="default" r:id="rId32"/>
          <w:footerReference w:type="first" r:id="rId33"/>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3"/>
        <w:rPr/>
      </w:pPr>
      <w:r>
        <w:rPr/>
        <w:t>В установленных случаях оценка и сопоставление заявок производится с учетом предоставления национального режима в соответствии с порядком, предусмотренном подразделом </w:t>
      </w:r>
      <w:r>
        <w:rPr/>
        <w:fldChar w:fldCharType="begin"/>
      </w:r>
      <w:r>
        <w:rPr/>
        <w:instrText xml:space="preserve"> REF _Ref186183588 \r \h </w:instrText>
      </w:r>
      <w:r>
        <w:rPr/>
        <w:fldChar w:fldCharType="separate"/>
      </w:r>
      <w:r>
        <w:rPr/>
        <w:t>4.17</w:t>
      </w:r>
      <w:r>
        <w:rPr/>
        <w:fldChar w:fldCharType="end"/>
      </w:r>
      <w:r>
        <w:rPr/>
        <w:t>.</w:t>
      </w:r>
    </w:p>
    <w:p>
      <w:pPr>
        <w:pStyle w:val="Style21"/>
        <w:rPr/>
      </w:pPr>
      <w:bookmarkStart w:id="413" w:name="_Ref125360420"/>
      <w:bookmarkStart w:id="414" w:name="_Toc228877262"/>
      <w:bookmarkStart w:id="415" w:name="Прил09_ОбоснованиеНМЦ"/>
      <w:bookmarkEnd w:id="415"/>
      <w:r>
        <w:rPr/>
        <w:t>Приложение № 9 – Обоснование НМЦ</w:t>
      </w:r>
      <w:bookmarkEnd w:id="413"/>
      <w:bookmarkEnd w:id="414"/>
    </w:p>
    <w:p>
      <w:pPr>
        <w:pStyle w:val="Style22"/>
        <w:rPr/>
      </w:pPr>
      <w:bookmarkStart w:id="416" w:name="_Toc228877263"/>
      <w:r>
        <w:rPr/>
        <w:t>Пояснения к Обоснованию НМЦ</w:t>
      </w:r>
      <w:bookmarkEnd w:id="416"/>
    </w:p>
    <w:p>
      <w:pPr>
        <w:pStyle w:val="Style23"/>
        <w:rPr/>
      </w:pPr>
      <w:r>
        <w:rPr/>
        <w:t>Обоснование НМЦ приведено в отдельном файле (предоставляется отдельным документом в составе Документации о закупке), являющимся Приложением № 9 к Документации о закупке.</w:t>
      </w:r>
    </w:p>
    <w:p>
      <w:pPr>
        <w:pStyle w:val="Style21"/>
        <w:rPr/>
      </w:pPr>
      <w:bookmarkStart w:id="417" w:name="_Toc228877264"/>
      <w:bookmarkStart w:id="418" w:name="Прил10_ФормаЗаявкиНаАккредитацию"/>
      <w:bookmarkEnd w:id="418"/>
      <w:r>
        <w:rPr/>
        <w:t>Приложение № 10 – Форма Заявки на аккредитацию</w:t>
      </w:r>
      <w:bookmarkEnd w:id="417"/>
    </w:p>
    <w:p>
      <w:pPr>
        <w:pStyle w:val="Style22"/>
        <w:rPr/>
      </w:pPr>
      <w:bookmarkStart w:id="419" w:name="_Toc228877265"/>
      <w:r>
        <w:rPr/>
        <w:t>Пояснения к форме Заявки на аккредитацию</w:t>
      </w:r>
      <w:bookmarkEnd w:id="419"/>
    </w:p>
    <w:p>
      <w:pPr>
        <w:pStyle w:val="Style23"/>
        <w:rPr/>
      </w:pPr>
      <w:r>
        <w:rPr/>
        <w:t xml:space="preserve">Форма Заявки на аккредитацию приведена в отдельном файле (предоставляется отдельным документом в составе Документации о закупке), являющимся Приложением № 10 к Документации о закупке. </w:t>
      </w:r>
    </w:p>
    <w:p>
      <w:pPr>
        <w:pStyle w:val="Style23"/>
        <w:rPr/>
      </w:pPr>
      <w:r>
        <w:rPr/>
        <w:t xml:space="preserve">Заявка на аккредитацию предоставляется (в установленных Документацией о закупке случаях) Участником в составе своей заявки </w:t>
      </w:r>
      <w:bookmarkStart w:id="420" w:name="_Hlk207300788"/>
      <w:r>
        <w:rPr/>
        <w:t xml:space="preserve">только в электронном виде в формате </w:t>
      </w:r>
      <w:r>
        <w:rPr>
          <w:lang w:val="en-US"/>
        </w:rPr>
        <w:t>Microsoft</w:t>
      </w:r>
      <w:r>
        <w:rPr/>
        <w:t xml:space="preserve"> </w:t>
      </w:r>
      <w:r>
        <w:rPr>
          <w:lang w:val="en-US"/>
        </w:rPr>
        <w:t>Excel</w:t>
      </w:r>
      <w:r>
        <w:rPr/>
        <w:t xml:space="preserve"> (*.</w:t>
      </w:r>
      <w:r>
        <w:rPr>
          <w:lang w:val="en-US"/>
        </w:rPr>
        <w:t>xlsx</w:t>
      </w:r>
      <w:r>
        <w:rPr/>
        <w:t>))</w:t>
      </w:r>
      <w:bookmarkEnd w:id="420"/>
      <w:r>
        <w:rPr/>
        <w:t>.</w:t>
      </w:r>
    </w:p>
    <w:p>
      <w:pPr>
        <w:pStyle w:val="Style27"/>
        <w:jc w:val="center"/>
        <w:rPr/>
      </w:pPr>
      <w:r>
        <w:rPr/>
        <w:object>
          <v:shapetype id="_x0000_tole_rId34" coordsize="21600,21600" o:spt="ole_rId34"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34" type="_x0000_tole_rId34" style="width:75.2pt;height:51.8pt;mso-wrap-distance-right:0pt" filled="f" o:ole="">
            <v:imagedata r:id="rId35" o:title=""/>
          </v:shape>
          <o:OLEObject Type="Embed" ProgID="Excel.Sheet.12" ShapeID="ole_rId34" DrawAspect="Icon" ObjectID="_1310532632" r:id="rId34"/>
        </w:object>
      </w:r>
    </w:p>
    <w:p>
      <w:pPr>
        <w:pStyle w:val="Normal"/>
        <w:rPr/>
      </w:pPr>
      <w:r>
        <w:rPr/>
      </w:r>
    </w:p>
    <w:p>
      <w:pPr>
        <w:pStyle w:val="Style21"/>
        <w:rPr/>
      </w:pPr>
      <w:bookmarkStart w:id="421" w:name="_Toc228877266"/>
      <w:bookmarkStart w:id="422" w:name="Прил11_Данные_бухотчетность"/>
      <w:r>
        <w:rPr/>
        <w:t xml:space="preserve">Приложение № 11 </w:t>
      </w:r>
      <w:bookmarkEnd w:id="422"/>
      <w:r>
        <w:rPr/>
        <w:t>– форма Данных бухгалтерской (финансовой) отчетности</w:t>
      </w:r>
      <w:bookmarkEnd w:id="421"/>
    </w:p>
    <w:p>
      <w:pPr>
        <w:pStyle w:val="Style22"/>
        <w:rPr/>
      </w:pPr>
      <w:bookmarkStart w:id="423" w:name="_Toc228877267"/>
      <w:r>
        <w:rPr/>
        <w:t>Пояснения к форме Данных бухгалтерской (финансовой) отчетности</w:t>
      </w:r>
      <w:bookmarkEnd w:id="423"/>
      <w:r>
        <w:rPr/>
        <w:t xml:space="preserve"> </w:t>
      </w:r>
    </w:p>
    <w:p>
      <w:pPr>
        <w:pStyle w:val="Style23"/>
        <w:rPr/>
      </w:pPr>
      <w:r>
        <w:rPr/>
        <w:t>Форма Данных бухгалтерской (финансовой) отчетности приведена в отдельном файле (предоставляется отдельным документом в составе Документации о закупке), являющимся Приложением № 11 к Документации о закупке.</w:t>
      </w:r>
    </w:p>
    <w:p>
      <w:pPr>
        <w:pStyle w:val="Normal"/>
        <w:rPr/>
      </w:pPr>
      <w:r>
        <w:rPr/>
      </w:r>
      <w:bookmarkStart w:id="424" w:name="_MON_1821256687"/>
      <w:bookmarkStart w:id="425" w:name="_MON_1821256687"/>
      <w:bookmarkEnd w:id="425"/>
    </w:p>
    <w:p>
      <w:pPr>
        <w:pStyle w:val="Normal"/>
        <w:jc w:val="center"/>
        <w:rPr/>
      </w:pPr>
      <w:bookmarkStart w:id="426" w:name="_Hlk210644436"/>
      <w:bookmarkStart w:id="427" w:name="_MON_1821256687_Копия_1"/>
      <w:bookmarkEnd w:id="427"/>
      <w:r>
        <w:rPr/>
        <w:object>
          <v:shapetype id="_x0000_tole_rId36" coordsize="21600,21600" o:spt="ole_rId36"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36" type="_x0000_tole_rId36" style="width:77.05pt;height:49.55pt;mso-wrap-distance-right:0pt" filled="f" o:ole="">
            <v:imagedata r:id="rId37" o:title=""/>
          </v:shape>
          <o:OLEObject Type="Embed" ProgID="Word.Document.12" ShapeID="ole_rId36" DrawAspect="Icon" ObjectID="_1262243915" r:id="rId36"/>
        </w:object>
      </w:r>
      <w:bookmarkEnd w:id="426"/>
    </w:p>
    <w:p>
      <w:pPr>
        <w:pStyle w:val="Normal"/>
        <w:jc w:val="center"/>
        <w:rPr/>
      </w:pPr>
      <w:r>
        <w:rPr/>
      </w:r>
    </w:p>
    <w:sectPr>
      <w:headerReference w:type="default" r:id="rId38"/>
      <w:headerReference w:type="first" r:id="rId39"/>
      <w:footerReference w:type="default" r:id="rId40"/>
      <w:footerReference w:type="first" r:id="rId41"/>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Arial">
    <w:charset w:val="01"/>
    <w:family w:val="roman"/>
    <w:pitch w:val="variable"/>
  </w:font>
  <w:font w:name="Calibri Light">
    <w:charset w:val="01"/>
    <w:family w:val="roman"/>
    <w:pitch w:val="variable"/>
  </w:font>
  <w:font w:name="Segoe UI">
    <w:charset w:val="01"/>
    <w:family w:val="roman"/>
    <w:pitch w:val="variable"/>
  </w:font>
  <w:font w:name="Liberation Sans">
    <w:altName w:val="Arial"/>
    <w:charset w:val="01"/>
    <w:family w:val="roman"/>
    <w:pitch w:val="variable"/>
  </w:font>
  <w:font w:name="Calibri">
    <w:charset w:val="01"/>
    <w:family w:val="roman"/>
    <w:pitch w:val="variable"/>
  </w:font>
  <w:font w:name="Wingdings 3">
    <w:charset w:val="02"/>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100992401"/>
    </w:sdtPr>
    <w:sdtContent>
      <w:p>
        <w:pPr>
          <w:pStyle w:val="Footer"/>
          <w:spacing w:before="120" w:after="0"/>
          <w:rPr/>
        </w:pPr>
        <w:r>
          <w:rPr/>
          <w:fldChar w:fldCharType="begin"/>
        </w:r>
        <w:r>
          <w:rPr/>
          <w:instrText xml:space="preserve"> PAGE </w:instrText>
        </w:r>
        <w:r>
          <w:rPr/>
          <w:fldChar w:fldCharType="separate"/>
        </w:r>
        <w:r>
          <w:rPr/>
          <w:t>21</w:t>
        </w:r>
        <w:r>
          <w:rPr/>
          <w:fldChar w:fldCharType="end"/>
        </w:r>
      </w:p>
    </w:sdtContent>
  </w:sdt>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460707291"/>
    </w:sdtPr>
    <w:sdtContent>
      <w:p>
        <w:pPr>
          <w:pStyle w:val="Footer"/>
          <w:spacing w:before="120" w:after="0"/>
          <w:rPr/>
        </w:pPr>
        <w:r>
          <w:rPr/>
          <w:fldChar w:fldCharType="begin"/>
        </w:r>
        <w:r>
          <w:rPr/>
          <w:instrText xml:space="preserve"> PAGE </w:instrText>
        </w:r>
        <w:r>
          <w:rPr/>
          <w:fldChar w:fldCharType="separate"/>
        </w:r>
        <w:r>
          <w:rPr/>
          <w:t>69</w:t>
        </w:r>
        <w:r>
          <w:rPr/>
          <w:fldChar w:fldCharType="end"/>
        </w:r>
      </w:p>
    </w:sdtContent>
  </w:sdt>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241490837"/>
    </w:sdtPr>
    <w:sdtContent>
      <w:p>
        <w:pPr>
          <w:pStyle w:val="Footer"/>
          <w:spacing w:before="120" w:after="0"/>
          <w:rPr/>
        </w:pPr>
        <w:r>
          <w:rPr/>
          <w:fldChar w:fldCharType="begin"/>
        </w:r>
        <w:r>
          <w:rPr/>
          <w:instrText xml:space="preserve"> PAGE </w:instrText>
        </w:r>
        <w:r>
          <w:rPr/>
          <w:fldChar w:fldCharType="separate"/>
        </w:r>
        <w:r>
          <w:rPr/>
          <w:t>70</w:t>
        </w:r>
        <w:r>
          <w:rPr/>
          <w:fldChar w:fldCharType="end"/>
        </w:r>
      </w:p>
    </w:sdtContent>
  </w:sdt>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300976"/>
    </w:sdtPr>
    <w:sdtContent>
      <w:p>
        <w:pPr>
          <w:pStyle w:val="Footer"/>
          <w:spacing w:before="120" w:after="0"/>
          <w:rPr/>
        </w:pPr>
        <w:r>
          <w:rPr/>
          <w:fldChar w:fldCharType="begin"/>
        </w:r>
        <w:r>
          <w:rPr/>
          <w:instrText xml:space="preserve"> PAGE </w:instrText>
        </w:r>
        <w:r>
          <w:rPr/>
          <w:fldChar w:fldCharType="separate"/>
        </w:r>
        <w:r>
          <w:rPr/>
          <w:t>73</w:t>
        </w:r>
        <w:r>
          <w:rPr/>
          <w:fldChar w:fldCharType="end"/>
        </w:r>
      </w:p>
    </w:sdtContent>
  </w:sdt>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069705825"/>
    </w:sdtPr>
    <w:sdtContent>
      <w:p>
        <w:pPr>
          <w:pStyle w:val="Footer"/>
          <w:spacing w:before="120" w:after="0"/>
          <w:rPr/>
        </w:pPr>
        <w:r>
          <w:rPr/>
          <w:fldChar w:fldCharType="begin"/>
        </w:r>
        <w:r>
          <w:rPr/>
          <w:instrText xml:space="preserve"> PAGE </w:instrText>
        </w:r>
        <w:r>
          <w:rPr/>
          <w:fldChar w:fldCharType="separate"/>
        </w:r>
        <w:r>
          <w:rPr/>
          <w:t>23</w:t>
        </w:r>
        <w:r>
          <w:rPr/>
          <w:fldChar w:fldCharType="end"/>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367014563"/>
    </w:sdtPr>
    <w:sdtContent>
      <w:p>
        <w:pPr>
          <w:pStyle w:val="Footer"/>
          <w:spacing w:before="120" w:after="0"/>
          <w:rPr/>
        </w:pPr>
        <w:r>
          <w:rPr/>
          <w:fldChar w:fldCharType="begin"/>
        </w:r>
        <w:r>
          <w:rPr/>
          <w:instrText xml:space="preserve"> PAGE </w:instrText>
        </w:r>
        <w:r>
          <w:rPr/>
          <w:fldChar w:fldCharType="separate"/>
        </w:r>
        <w:r>
          <w:rPr/>
          <w:t>52</w:t>
        </w:r>
        <w:r>
          <w:rPr/>
          <w:fldChar w:fldCharType="end"/>
        </w:r>
      </w:p>
    </w:sdtContent>
  </w:sdt>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879642389"/>
    </w:sdtPr>
    <w:sdtContent>
      <w:p>
        <w:pPr>
          <w:pStyle w:val="Footer"/>
          <w:spacing w:before="120" w:after="0"/>
          <w:rPr/>
        </w:pPr>
        <w:r>
          <w:rPr/>
          <w:fldChar w:fldCharType="begin"/>
        </w:r>
        <w:r>
          <w:rPr/>
          <w:instrText xml:space="preserve"> PAGE </w:instrText>
        </w:r>
        <w:r>
          <w:rPr/>
          <w:fldChar w:fldCharType="separate"/>
        </w:r>
        <w:r>
          <w:rPr/>
          <w:t>57</w:t>
        </w:r>
        <w:r>
          <w:rPr/>
          <w:fldChar w:fldCharType="end"/>
        </w:r>
      </w:p>
    </w:sdtContent>
  </w:sdt>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630638664"/>
    </w:sdtPr>
    <w:sdtContent>
      <w:p>
        <w:pPr>
          <w:pStyle w:val="Footer"/>
          <w:spacing w:before="120" w:after="0"/>
          <w:rPr/>
        </w:pPr>
        <w:r>
          <w:rPr/>
          <w:fldChar w:fldCharType="begin"/>
        </w:r>
        <w:r>
          <w:rPr/>
          <w:instrText xml:space="preserve"> PAGE </w:instrText>
        </w:r>
        <w:r>
          <w:rPr/>
          <w:fldChar w:fldCharType="separate"/>
        </w:r>
        <w:r>
          <w:rPr/>
          <w:t>62</w:t>
        </w:r>
        <w:r>
          <w:rPr/>
          <w:fldChar w:fldCharType="end"/>
        </w:r>
      </w:p>
    </w:sdtContent>
  </w:sdt>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29"/>
        <w:spacing w:before="80" w:after="0"/>
        <w:ind w:left="567" w:hanging="567"/>
        <w:jc w:val="both"/>
        <w:rPr/>
      </w:pPr>
      <w:r>
        <w:rPr>
          <w:rStyle w:val="Style10"/>
        </w:rPr>
        <w:footnoteRef/>
      </w:r>
      <w:r>
        <w:rPr/>
        <w:tab/>
        <w:t>Если при проведении аукциона цена была снижена до нуля, далее аукцион проводился на повышение стоимости заявки (цены Договора).</w:t>
      </w:r>
    </w:p>
  </w:footnote>
  <w:footnote w:id="3">
    <w:p>
      <w:pPr>
        <w:pStyle w:val="Style29"/>
        <w:spacing w:before="80" w:after="0"/>
        <w:ind w:left="567" w:hanging="567"/>
        <w:jc w:val="both"/>
        <w:rPr/>
      </w:pPr>
      <w:r>
        <w:rPr>
          <w:rStyle w:val="Style10"/>
        </w:rPr>
        <w:footnoteRef/>
      </w:r>
      <w:r>
        <w:rPr/>
        <w:tab/>
        <w:t>Определенные в соответствии с Законом 422-ФЗ.</w:t>
      </w:r>
    </w:p>
  </w:footnote>
  <w:footnote w:id="4">
    <w:p>
      <w:pPr>
        <w:pStyle w:val="Style29"/>
        <w:spacing w:before="80" w:after="0"/>
        <w:ind w:left="567" w:hanging="567"/>
        <w:jc w:val="both"/>
        <w:rPr/>
      </w:pPr>
      <w:r>
        <w:rPr>
          <w:rStyle w:val="Style10"/>
        </w:rPr>
        <w:footnoteRef/>
      </w:r>
      <w:r>
        <w:rPr/>
        <w:tab/>
        <w:t>При этом отклонение заявки за отсутствие в ней документов, требующихся исключительно для целей оценки и сопоставления заявок (подраздел </w:t>
      </w:r>
      <w:r>
        <w:rPr/>
        <w:fldChar w:fldCharType="begin"/>
      </w:r>
      <w:r>
        <w:rPr/>
        <w:instrText xml:space="preserve"> REF _Ref125362626 \w \h </w:instrText>
      </w:r>
      <w:r>
        <w:rPr/>
        <w:fldChar w:fldCharType="separate"/>
      </w:r>
      <w:r>
        <w:rPr/>
        <w:t>4.16</w:t>
      </w:r>
      <w:r>
        <w:rPr/>
        <w:fldChar w:fldCharType="end"/>
      </w:r>
      <w:r>
        <w:rPr/>
        <w:t>), не допускается.</w:t>
      </w:r>
    </w:p>
  </w:footnote>
  <w:footnote w:id="5">
    <w:p>
      <w:pPr>
        <w:pStyle w:val="Style29"/>
        <w:spacing w:before="80" w:after="0"/>
        <w:ind w:left="567" w:hanging="567"/>
        <w:jc w:val="both"/>
        <w:rPr/>
      </w:pPr>
      <w:r>
        <w:rPr>
          <w:rStyle w:val="Style10"/>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6">
    <w:p>
      <w:pPr>
        <w:pStyle w:val="Style29"/>
        <w:spacing w:before="80" w:after="0"/>
        <w:ind w:left="567" w:hanging="567"/>
        <w:jc w:val="both"/>
        <w:rPr/>
      </w:pPr>
      <w:r>
        <w:rPr>
          <w:rStyle w:val="Style10"/>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7">
    <w:p>
      <w:pPr>
        <w:pStyle w:val="FootnoteText"/>
        <w:ind w:left="567" w:hanging="567"/>
        <w:jc w:val="both"/>
        <w:rPr>
          <w:sz w:val="22"/>
        </w:rPr>
      </w:pPr>
      <w:r>
        <w:rPr>
          <w:rStyle w:val="Style10"/>
        </w:rPr>
        <w:footnoteRef/>
      </w:r>
      <w:r>
        <w:rPr>
          <w:sz w:val="22"/>
        </w:rPr>
        <w:tab/>
        <w:t>В отношении предоставляемой Участником (в целях обеспечения проведения оценки его финансового состояния (устойчивости) в соответствии с Положением об аккредитации) бухгалтерской (финансовой) отчетности самостоятельные исправления арифметических ошибок не допускается (все изменения в отчетность должны вноситься в установленном законодательством порядке).</w:t>
      </w:r>
    </w:p>
  </w:footnote>
  <w:footnote w:id="8">
    <w:p>
      <w:pPr>
        <w:pStyle w:val="Style29"/>
        <w:spacing w:before="80" w:after="0"/>
        <w:ind w:left="567" w:hanging="567"/>
        <w:jc w:val="both"/>
        <w:rPr/>
      </w:pPr>
      <w:r>
        <w:rPr>
          <w:rStyle w:val="Style10"/>
        </w:rPr>
        <w:footnoteRef/>
      </w:r>
      <w:bookmarkStart w:id="428" w:name="_Hlk149652703_Копия_1_Копия_1"/>
      <w:r>
        <w:rPr/>
        <w:tab/>
        <w:t>Если при проведении аукциона цена была снижена до нуля и аукцион проводился на повышение стоимости заявки (цены Договора) – первое место в ранжировке присваивается заявке с наибольшей стоимостью заявки, а заявки ранжируется по мере понижения их стоимости (цены Договора).</w:t>
      </w:r>
      <w:bookmarkEnd w:id="428"/>
    </w:p>
  </w:footnote>
  <w:footnote w:id="9">
    <w:p>
      <w:pPr>
        <w:pStyle w:val="Style29"/>
        <w:spacing w:before="80" w:after="0"/>
        <w:ind w:left="567" w:hanging="567"/>
        <w:jc w:val="both"/>
        <w:rPr/>
      </w:pPr>
      <w:r>
        <w:rPr>
          <w:rStyle w:val="Style10"/>
        </w:rPr>
        <w:footnoteRef/>
      </w:r>
      <w:r>
        <w:rPr/>
        <w:tab/>
        <w:t>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p>
  </w:footnote>
  <w:footnote w:id="10">
    <w:p>
      <w:pPr>
        <w:pStyle w:val="Style29"/>
        <w:spacing w:before="80" w:after="0"/>
        <w:ind w:left="567" w:hanging="567"/>
        <w:jc w:val="both"/>
        <w:rPr/>
      </w:pPr>
      <w:r>
        <w:rPr>
          <w:rStyle w:val="Style10"/>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 и Победителя.</w:t>
      </w:r>
    </w:p>
  </w:footnote>
  <w:footnote w:id="11">
    <w:p>
      <w:pPr>
        <w:pStyle w:val="Style29"/>
        <w:spacing w:before="80" w:after="0"/>
        <w:ind w:left="567" w:hanging="567"/>
        <w:jc w:val="both"/>
        <w:rPr/>
      </w:pPr>
      <w:r>
        <w:rPr>
          <w:rStyle w:val="Style10"/>
        </w:rPr>
        <w:footnoteRef/>
      </w:r>
      <w:r>
        <w:rPr/>
        <w:tab/>
        <w:t>https://minfin.gov.ru/ru/perfomance/tax_relations/policy/bankwarranty/</w:t>
      </w:r>
    </w:p>
  </w:footnote>
  <w:footnote w:id="12">
    <w:p>
      <w:pPr>
        <w:pStyle w:val="Style29"/>
        <w:spacing w:before="80" w:after="0"/>
        <w:ind w:left="567" w:hanging="567"/>
        <w:jc w:val="both"/>
        <w:rPr/>
      </w:pPr>
      <w:r>
        <w:rPr>
          <w:rStyle w:val="Style10"/>
        </w:rPr>
        <w:footnoteRef/>
      </w:r>
      <w:r>
        <w:rPr/>
        <w:tab/>
        <w:t>Во исполнение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footnote>
  <w:footnote w:id="13">
    <w:p>
      <w:pPr>
        <w:pStyle w:val="Style29"/>
        <w:spacing w:before="80" w:after="0"/>
        <w:ind w:left="567" w:hanging="567"/>
        <w:jc w:val="both"/>
        <w:rPr/>
      </w:pPr>
      <w:r>
        <w:rPr>
          <w:rStyle w:val="Style10"/>
        </w:rPr>
        <w:footnoteRef/>
      </w:r>
      <w:r>
        <w:rPr/>
        <w:tab/>
        <w:t>Перед заключением договора Заказчик дополнительно проводит проверку Победителя (данная норма применима также в отношении Единственного участника несостоявшейся закупки, с которым принято решение о заключении договора) на основании документов, предоставляемых в соответствии с подразделом </w:t>
      </w:r>
      <w:r>
        <w:rPr/>
        <w:fldChar w:fldCharType="begin"/>
      </w:r>
      <w:r>
        <w:rPr/>
        <w:instrText xml:space="preserve"> REF _Ref138341423 \r \h </w:instrText>
      </w:r>
      <w:r>
        <w:rPr/>
        <w:fldChar w:fldCharType="separate"/>
      </w:r>
      <w:r>
        <w:rPr/>
        <w:t>5.2</w:t>
      </w:r>
      <w:r>
        <w:rPr/>
        <w:fldChar w:fldCharType="end"/>
      </w:r>
      <w:r>
        <w:rPr/>
        <w:t>. Если по результатам такой проверки Участник не отвечает установленным требованиям,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footnote>
  <w:footnote w:id="14">
    <w:p>
      <w:pPr>
        <w:pStyle w:val="Style29"/>
        <w:spacing w:before="80" w:after="0"/>
        <w:ind w:left="567" w:hanging="567"/>
        <w:jc w:val="both"/>
        <w:rPr/>
      </w:pPr>
      <w:r>
        <w:rPr>
          <w:rStyle w:val="Style10"/>
        </w:rPr>
        <w:footnoteRef/>
      </w:r>
      <w:r>
        <w:rPr/>
        <w:tab/>
        <w:t>Если при проведении аукциона цена была снижена до нуля и аукцион проводился на повышение стоимости заявки (цены Договора) – первое место в ранжировке присваивается заявке с наибольшей стоимостью заявки, а заявки ранжируется по мере понижения их стоимости (цены Договора).</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Style21"/>
      <w:numFmt w:val="decimal"/>
      <w:lvlText w:val="%1."/>
      <w:lvlJc w:val="left"/>
      <w:pPr>
        <w:tabs>
          <w:tab w:val="num" w:pos="1134"/>
        </w:tabs>
        <w:ind w:left="1134" w:hanging="1134"/>
      </w:pPr>
      <w:rPr/>
    </w:lvl>
    <w:lvl w:ilvl="1">
      <w:start w:val="1"/>
      <w:pStyle w:val="Style22"/>
      <w:numFmt w:val="decimal"/>
      <w:lvlText w:val="%1.%2"/>
      <w:lvlJc w:val="left"/>
      <w:pPr>
        <w:tabs>
          <w:tab w:val="num" w:pos="1134"/>
        </w:tabs>
        <w:ind w:left="1134" w:hanging="1134"/>
      </w:pPr>
      <w:rPr/>
    </w:lvl>
    <w:lvl w:ilvl="2">
      <w:start w:val="1"/>
      <w:pStyle w:val="Style23"/>
      <w:numFmt w:val="decimal"/>
      <w:lvlText w:val="%1.%2.%3"/>
      <w:lvlJc w:val="left"/>
      <w:pPr>
        <w:tabs>
          <w:tab w:val="num" w:pos="1134"/>
        </w:tabs>
        <w:ind w:left="1134" w:hanging="1134"/>
      </w:pPr>
      <w:rPr/>
    </w:lvl>
    <w:lvl w:ilvl="3">
      <w:start w:val="1"/>
      <w:pStyle w:val="Style24"/>
      <w:numFmt w:val="russianLower"/>
      <w:lvlText w:val="%4)"/>
      <w:lvlJc w:val="left"/>
      <w:pPr>
        <w:tabs>
          <w:tab w:val="num" w:pos="1701"/>
        </w:tabs>
        <w:ind w:left="1701" w:hanging="567"/>
      </w:pPr>
      <w:rPr/>
    </w:lvl>
    <w:lvl w:ilvl="4">
      <w:start w:val="1"/>
      <w:pStyle w:val="Style25"/>
      <w:numFmt w:val="bullet"/>
      <w:lvlText w:val=""/>
      <w:lvlJc w:val="left"/>
      <w:pPr>
        <w:tabs>
          <w:tab w:val="num" w:pos="2268"/>
        </w:tabs>
        <w:ind w:left="2268" w:hanging="567"/>
      </w:pPr>
      <w:rPr>
        <w:rFonts w:ascii="Symbol" w:hAnsi="Symbol" w:cs="Symbol" w:hint="default"/>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decimal"/>
      <w:lvlText w:val="%1."/>
      <w:lvlJc w:val="left"/>
      <w:pPr>
        <w:tabs>
          <w:tab w:val="num" w:pos="1134"/>
        </w:tabs>
        <w:ind w:left="1134" w:hanging="1134"/>
      </w:pPr>
      <w:rPr/>
    </w:lvl>
    <w:lvl w:ilvl="1">
      <w:start w:val="1"/>
      <w:numFmt w:val="decimal"/>
      <w:lvlText w:val="%1.%2"/>
      <w:lvlJc w:val="left"/>
      <w:pPr>
        <w:tabs>
          <w:tab w:val="num" w:pos="2694"/>
        </w:tabs>
        <w:ind w:left="2694" w:hanging="1134"/>
      </w:pPr>
      <w:rPr>
        <w:sz w:val="28"/>
        <w:i w:val="false"/>
        <w:b/>
        <w:szCs w:val="28"/>
      </w:rPr>
    </w:lvl>
    <w:lvl w:ilvl="2">
      <w:start w:val="1"/>
      <w:numFmt w:val="decimal"/>
      <w:lvlText w:val="%1.%2.%3"/>
      <w:lvlJc w:val="left"/>
      <w:pPr>
        <w:tabs>
          <w:tab w:val="num" w:pos="1134"/>
        </w:tabs>
        <w:ind w:left="1134" w:hanging="1134"/>
      </w:pPr>
      <w:rPr>
        <w:sz w:val="26"/>
        <w:i w:val="false"/>
        <w:b w:val="false"/>
        <w:szCs w:val="26"/>
      </w:rPr>
    </w:lvl>
    <w:lvl w:ilvl="3">
      <w:start w:val="1"/>
      <w:numFmt w:val="decimal"/>
      <w:lvlText w:val="%1.%2.%3.%4"/>
      <w:lvlJc w:val="left"/>
      <w:pPr>
        <w:tabs>
          <w:tab w:val="num" w:pos="1134"/>
        </w:tabs>
        <w:ind w:left="1134" w:hanging="1134"/>
      </w:pPr>
      <w:rPr>
        <w:sz w:val="26"/>
        <w:i w:val="false"/>
        <w:b w:val="false"/>
        <w:szCs w:val="26"/>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0">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3">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lvl w:ilvl="0">
      <w:start w:val="1"/>
      <w:numFmt w:val="decimal"/>
      <w:lvlText w:val="%1."/>
      <w:lvlJc w:val="left"/>
      <w:pPr>
        <w:tabs>
          <w:tab w:val="num" w:pos="851"/>
        </w:tabs>
        <w:ind w:left="0" w:hanging="0"/>
      </w:pPr>
      <w:rPr/>
    </w:lvl>
    <w:lvl w:ilvl="1">
      <w:start w:val="1"/>
      <w:numFmt w:val="decimal"/>
      <w:lvlText w:val="%1.%2."/>
      <w:lvlJc w:val="left"/>
      <w:pPr>
        <w:tabs>
          <w:tab w:val="num" w:pos="0"/>
        </w:tabs>
        <w:ind w:left="1418" w:hanging="1418"/>
      </w:pPr>
      <w:rPr>
        <w:smallCaps w:val="false"/>
        <w:caps w:val="false"/>
        <w:dstrike w:val="false"/>
        <w:strike w:val="false"/>
        <w:vertAlign w:val="baseline"/>
        <w:position w:val="0"/>
        <w:sz w:val="28"/>
        <w:sz w:val="28"/>
        <w:spacing w:val="0"/>
        <w:i w:val="false"/>
        <w:u w:val="none"/>
        <w:b/>
        <w:kern w:val="0"/>
        <w:effect w:val="none"/>
        <w:szCs w:val="28"/>
        <w:iCs w:val="false"/>
        <w:bCs/>
        <w:em w:val="none"/>
        <w:vanish w:val="false"/>
        <w:rFonts w:ascii="Times New Roman" w:hAnsi="Times New Roman" w:cs="Times New Roman"/>
        <w:color w:val="000000"/>
        <w:lang w:bidi="x-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418" w:hanging="1418"/>
      </w:pPr>
      <w:rPr>
        <w:sz w:val="28"/>
        <w:b w:val="false"/>
        <w:szCs w:val="28"/>
        <w:bCs/>
      </w:rPr>
    </w:lvl>
    <w:lvl w:ilvl="3">
      <w:start w:val="1"/>
      <w:numFmt w:val="decimal"/>
      <w:lvlText w:val="%1.%2.%3.%4."/>
      <w:lvlJc w:val="left"/>
      <w:pPr>
        <w:tabs>
          <w:tab w:val="num" w:pos="1701"/>
        </w:tabs>
        <w:ind w:left="1418" w:hanging="1418"/>
      </w:pPr>
      <w:rPr>
        <w:smallCaps w:val="false"/>
        <w:caps w:val="false"/>
        <w:dstrike w:val="false"/>
        <w:strike w:val="false"/>
        <w:vertAlign w:val="baseline"/>
        <w:position w:val="0"/>
        <w:sz w:val="28"/>
        <w:sz w:val="28"/>
        <w:spacing w:val="0"/>
        <w:i w:val="false"/>
        <w:u w:val="none"/>
        <w:b w:val="false"/>
        <w:kern w:val="0"/>
        <w:effect w:val="none"/>
        <w:szCs w:val="28"/>
        <w:iCs w:val="false"/>
        <w:bCs/>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4">
      <w:start w:val="1"/>
      <w:numFmt w:val="russianLower"/>
      <w:lvlText w:val="%5)"/>
      <w:lvlJc w:val="left"/>
      <w:pPr>
        <w:tabs>
          <w:tab w:val="num" w:pos="1985"/>
        </w:tabs>
        <w:ind w:left="1985" w:hanging="567"/>
      </w:pPr>
      <w:rPr>
        <w:smallCaps w:val="false"/>
        <w:caps w:val="false"/>
        <w:outline w:val="false"/>
        <w:dstrike w:val="false"/>
        <w:strike w:val="false"/>
        <w:vertAlign w:val="baseline"/>
        <w:position w:val="0"/>
        <w:sz w:val="26"/>
        <w:sz w:val="26"/>
        <w:spacing w:val="0"/>
        <w:i w:val="false"/>
        <w:shadow w:val="false"/>
        <w:u w:val="none"/>
        <w:b w:val="false"/>
        <w:kern w:val="0"/>
        <w:effect w:val="none"/>
        <w:iCs w:val="false"/>
        <w:bCs w:val="false"/>
        <w:em w:val="none"/>
        <w:emboss w:val="false"/>
        <w:imprint w:val="false"/>
        <w:vanish w:val="false"/>
        <w:rFonts w:ascii="Times New Roman" w:hAnsi="Times New Roman" w:cs="Times New Roman"/>
        <w14:cntxtAlts>
          <w14:cntxtAlts/>
        </w14:cntxtAlts>
        <w14:glow w14:rad="0">
          <w14:srgbClr w14:val="000000"/>
        </w14:glow>
        <w14:ligatures w14:val="none"/>
        <w14:numForm w14:val="default"/>
        <w14:numSpacing w14:val="default"/>
        <w14:props3d w14:extrusionH="0" w14:contourW="0" w14:prstMaterial="none"/>
        <w14:reflection w14:blurRad="0" w14:stA="0" w14:stPos="0" w14:endA="0" w14:endPos="0" w14:dist="0" w14:dir="0" w14:fadeDir="0" w14:sx="0" w14:sy="0" w14:kx="0" w14:ky="0" w14:algn="none"/>
        <w14:scene3d>
          <w14:camera w14:prst="orthographicFront"/>
          <w14:lightRig w14:rig="threePt" w14:dir="t">
            <w14:rot w14:lat="0" w14:lon="0" w14:rev="0"/>
          </w14:lightRig>
        </w14:scene3d>
        <w14:shadow w14:blurRad="0" w14:dist="0" w14:dir="0" w14:sx="0" w14:sy="0" w14:kx="0" w14:ky="0" w14:algn="none">
          <w14:srgbClr w14:val="000000"/>
        </w14:shadow>
        <w14:stylisticSets/>
        <w14:textOutline w14:w="0" w14:cap="rnd" w14:cmpd="sng" w14:algn="ctr">
          <w14:noFill/>
          <w14:prstDash w14:val="solid"/>
          <w14:bevel/>
        </w14:textOutline>
      </w:rPr>
    </w:lvl>
    <w:lvl w:ilvl="5">
      <w:start w:val="1"/>
      <w:numFmt w:val="bullet"/>
      <w:lvlText w:val=""/>
      <w:lvlJc w:val="left"/>
      <w:pPr>
        <w:tabs>
          <w:tab w:val="num" w:pos="1985"/>
        </w:tabs>
        <w:ind w:left="1985" w:hanging="567"/>
      </w:pPr>
      <w:rPr>
        <w:rFonts w:ascii="Symbol" w:hAnsi="Symbol" w:cs="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1"/>
      <w:numFmt w:val="decimal"/>
      <w:lvlText w:val="%1)"/>
      <w:lvlJc w:val="left"/>
      <w:pPr>
        <w:tabs>
          <w:tab w:val="num" w:pos="0"/>
        </w:tabs>
        <w:ind w:left="2705" w:hanging="360"/>
      </w:pPr>
      <w:rPr/>
    </w:lvl>
    <w:lvl w:ilvl="1">
      <w:start w:val="1"/>
      <w:numFmt w:val="lowerLetter"/>
      <w:lvlText w:val="%2."/>
      <w:lvlJc w:val="left"/>
      <w:pPr>
        <w:tabs>
          <w:tab w:val="num" w:pos="0"/>
        </w:tabs>
        <w:ind w:left="3425" w:hanging="360"/>
      </w:pPr>
      <w:rPr/>
    </w:lvl>
    <w:lvl w:ilvl="2">
      <w:start w:val="1"/>
      <w:numFmt w:val="lowerRoman"/>
      <w:lvlText w:val="%3."/>
      <w:lvlJc w:val="right"/>
      <w:pPr>
        <w:tabs>
          <w:tab w:val="num" w:pos="0"/>
        </w:tabs>
        <w:ind w:left="4145" w:hanging="180"/>
      </w:pPr>
      <w:rPr/>
    </w:lvl>
    <w:lvl w:ilvl="3">
      <w:start w:val="1"/>
      <w:numFmt w:val="decimal"/>
      <w:lvlText w:val="%4."/>
      <w:lvlJc w:val="left"/>
      <w:pPr>
        <w:tabs>
          <w:tab w:val="num" w:pos="0"/>
        </w:tabs>
        <w:ind w:left="4865" w:hanging="360"/>
      </w:pPr>
      <w:rPr/>
    </w:lvl>
    <w:lvl w:ilvl="4">
      <w:start w:val="1"/>
      <w:numFmt w:val="lowerLetter"/>
      <w:lvlText w:val="%5."/>
      <w:lvlJc w:val="left"/>
      <w:pPr>
        <w:tabs>
          <w:tab w:val="num" w:pos="0"/>
        </w:tabs>
        <w:ind w:left="5585" w:hanging="360"/>
      </w:pPr>
      <w:rPr/>
    </w:lvl>
    <w:lvl w:ilvl="5">
      <w:start w:val="1"/>
      <w:numFmt w:val="lowerRoman"/>
      <w:lvlText w:val="%6."/>
      <w:lvlJc w:val="right"/>
      <w:pPr>
        <w:tabs>
          <w:tab w:val="num" w:pos="0"/>
        </w:tabs>
        <w:ind w:left="6305" w:hanging="180"/>
      </w:pPr>
      <w:rPr/>
    </w:lvl>
    <w:lvl w:ilvl="6">
      <w:start w:val="1"/>
      <w:numFmt w:val="decimal"/>
      <w:lvlText w:val="%7."/>
      <w:lvlJc w:val="left"/>
      <w:pPr>
        <w:tabs>
          <w:tab w:val="num" w:pos="0"/>
        </w:tabs>
        <w:ind w:left="7025" w:hanging="360"/>
      </w:pPr>
      <w:rPr/>
    </w:lvl>
    <w:lvl w:ilvl="7">
      <w:start w:val="1"/>
      <w:numFmt w:val="lowerLetter"/>
      <w:lvlText w:val="%8."/>
      <w:lvlJc w:val="left"/>
      <w:pPr>
        <w:tabs>
          <w:tab w:val="num" w:pos="0"/>
        </w:tabs>
        <w:ind w:left="7745" w:hanging="360"/>
      </w:pPr>
      <w:rPr/>
    </w:lvl>
    <w:lvl w:ilvl="8">
      <w:start w:val="1"/>
      <w:numFmt w:val="lowerRoman"/>
      <w:lvlText w:val="%9."/>
      <w:lvlJc w:val="right"/>
      <w:pPr>
        <w:tabs>
          <w:tab w:val="num" w:pos="0"/>
        </w:tabs>
        <w:ind w:left="8465" w:hanging="180"/>
      </w:pPr>
      <w:rPr/>
    </w:lvl>
  </w:abstractNum>
  <w:abstractNum w:abstractNumId="18">
    <w:lvl w:ilvl="0">
      <w:start w:val="1"/>
      <w:numFmt w:val="bullet"/>
      <w:lvlText w:val=""/>
      <w:lvlJc w:val="left"/>
      <w:pPr>
        <w:tabs>
          <w:tab w:val="num" w:pos="0"/>
        </w:tabs>
        <w:ind w:left="2705" w:hanging="360"/>
      </w:pPr>
      <w:rPr>
        <w:rFonts w:ascii="Symbol" w:hAnsi="Symbol" w:cs="Symbol" w:hint="default"/>
      </w:rPr>
    </w:lvl>
    <w:lvl w:ilvl="1">
      <w:start w:val="1"/>
      <w:numFmt w:val="lowerLetter"/>
      <w:lvlText w:val="%2."/>
      <w:lvlJc w:val="left"/>
      <w:pPr>
        <w:tabs>
          <w:tab w:val="num" w:pos="0"/>
        </w:tabs>
        <w:ind w:left="3425" w:hanging="360"/>
      </w:pPr>
      <w:rPr/>
    </w:lvl>
    <w:lvl w:ilvl="2">
      <w:start w:val="1"/>
      <w:numFmt w:val="lowerRoman"/>
      <w:lvlText w:val="%3."/>
      <w:lvlJc w:val="right"/>
      <w:pPr>
        <w:tabs>
          <w:tab w:val="num" w:pos="0"/>
        </w:tabs>
        <w:ind w:left="4145" w:hanging="180"/>
      </w:pPr>
      <w:rPr/>
    </w:lvl>
    <w:lvl w:ilvl="3">
      <w:start w:val="1"/>
      <w:numFmt w:val="decimal"/>
      <w:lvlText w:val="%4."/>
      <w:lvlJc w:val="left"/>
      <w:pPr>
        <w:tabs>
          <w:tab w:val="num" w:pos="0"/>
        </w:tabs>
        <w:ind w:left="4865" w:hanging="360"/>
      </w:pPr>
      <w:rPr/>
    </w:lvl>
    <w:lvl w:ilvl="4">
      <w:start w:val="1"/>
      <w:numFmt w:val="lowerLetter"/>
      <w:lvlText w:val="%5."/>
      <w:lvlJc w:val="left"/>
      <w:pPr>
        <w:tabs>
          <w:tab w:val="num" w:pos="0"/>
        </w:tabs>
        <w:ind w:left="5585" w:hanging="360"/>
      </w:pPr>
      <w:rPr/>
    </w:lvl>
    <w:lvl w:ilvl="5">
      <w:start w:val="1"/>
      <w:numFmt w:val="lowerRoman"/>
      <w:lvlText w:val="%6."/>
      <w:lvlJc w:val="right"/>
      <w:pPr>
        <w:tabs>
          <w:tab w:val="num" w:pos="0"/>
        </w:tabs>
        <w:ind w:left="6305" w:hanging="180"/>
      </w:pPr>
      <w:rPr/>
    </w:lvl>
    <w:lvl w:ilvl="6">
      <w:start w:val="1"/>
      <w:numFmt w:val="decimal"/>
      <w:lvlText w:val="%7."/>
      <w:lvlJc w:val="left"/>
      <w:pPr>
        <w:tabs>
          <w:tab w:val="num" w:pos="0"/>
        </w:tabs>
        <w:ind w:left="7025" w:hanging="360"/>
      </w:pPr>
      <w:rPr/>
    </w:lvl>
    <w:lvl w:ilvl="7">
      <w:start w:val="1"/>
      <w:numFmt w:val="lowerLetter"/>
      <w:lvlText w:val="%8."/>
      <w:lvlJc w:val="left"/>
      <w:pPr>
        <w:tabs>
          <w:tab w:val="num" w:pos="0"/>
        </w:tabs>
        <w:ind w:left="7745" w:hanging="360"/>
      </w:pPr>
      <w:rPr/>
    </w:lvl>
    <w:lvl w:ilvl="8">
      <w:start w:val="1"/>
      <w:numFmt w:val="lowerRoman"/>
      <w:lvlText w:val="%9."/>
      <w:lvlJc w:val="right"/>
      <w:pPr>
        <w:tabs>
          <w:tab w:val="num" w:pos="0"/>
        </w:tabs>
        <w:ind w:left="8465"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104"/>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 w:cstheme="minorBidi" w:eastAsiaTheme="minorHAnsi"/>
        <w:sz w:val="26"/>
        <w:szCs w:val="22"/>
        <w:lang w:val="ru-RU" w:eastAsia="en-US" w:bidi="ar-SA"/>
      </w:rPr>
    </w:rPrDefault>
    <w:pPrDefault>
      <w:pPr>
        <w:suppressAutoHyphens w:val="true"/>
      </w:pPr>
    </w:pPrDefault>
  </w:docDefaults>
  <w:latentStyles w:defLockedState="1" w:defUIPriority="99" w:defSemiHidden="0" w:defUnhideWhenUsed="0" w:defQFormat="0" w:count="376">
    <w:lsdException w:name="Normal" w:locked="0" w:uiPriority="0" w:qFormat="1"/>
    <w:lsdException w:name="heading 1" w:locked="0" w:uiPriority="0"/>
    <w:lsdException w:name="heading 2" w:locked="0" w:uiPriority="0" w:semiHidden="1" w:unhideWhenUsed="1"/>
    <w:lsdException w:name="heading 3" w:locked="0" w:uiPriority="0" w:semiHidden="1" w:unhideWhenUsed="1"/>
    <w:lsdException w:name="heading 4" w:locked="0" w:uiPriority="0" w:semiHidden="1" w:unhideWhenUsed="1" w:qFormat="1"/>
    <w:lsdException w:name="heading 5" w:locked="0" w:uiPriority="9" w:semiHidden="1" w:unhideWhenUsed="1" w:qFormat="1"/>
    <w:lsdException w:name="heading 6" w:locked="0" w:uiPriority="9" w:semiHidden="1" w:unhideWhenUsed="1" w:qFormat="1"/>
    <w:lsdException w:name="heading 7" w:locked="0" w:uiPriority="9" w:semiHidden="1" w:unhideWhenUsed="1" w:qFormat="1"/>
    <w:lsdException w:name="heading 8" w:locked="0" w:uiPriority="9" w:semiHidden="1" w:unhideWhenUsed="1" w:qFormat="1"/>
    <w:lsdException w:name="heading 9" w:locked="0" w:uiPriority="9" w:semiHidden="1"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uiPriority="39" w:semiHidden="1" w:unhideWhenUsed="1"/>
    <w:lsdException w:name="toc 2" w:locked="0" w:uiPriority="39" w:semiHidden="1" w:unhideWhenUsed="1"/>
    <w:lsdException w:name="toc 3" w:locked="0" w:uiPriority="39" w:semiHidden="1" w:unhideWhenUsed="1"/>
    <w:lsdException w:name="toc 4" w:locked="0" w:uiPriority="39" w:semiHidden="1" w:unhideWhenUsed="1"/>
    <w:lsdException w:name="toc 5" w:locked="0" w:uiPriority="39" w:semiHidden="1" w:unhideWhenUsed="1"/>
    <w:lsdException w:name="toc 6" w:locked="0" w:uiPriority="39" w:semiHidden="1" w:unhideWhenUsed="1"/>
    <w:lsdException w:name="toc 7" w:locked="0" w:uiPriority="39" w:semiHidden="1" w:unhideWhenUsed="1"/>
    <w:lsdException w:name="toc 8" w:locked="0" w:uiPriority="39" w:semiHidden="1" w:unhideWhenUsed="1"/>
    <w:lsdException w:name="toc 9" w:locked="0" w:uiPriority="39" w:semiHidden="1"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uiPriority="0" w:semiHidden="1" w:unhideWhenUsed="1"/>
    <w:lsdException w:name="index heading" w:locked="0" w:semiHidden="1" w:unhideWhenUsed="1"/>
    <w:lsdException w:name="caption" w:locked="0" w:uiPriority="35" w:semiHidden="1"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uiPriority="0" w:semiHidden="1" w:unhideWhenUsed="1"/>
    <w:lsdException w:name="annotation reference" w:locked="0" w:uiPriority="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uiPriority="1" w:semiHidden="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uiPriority="37" w:semiHidden="1" w:unhideWhenUsed="1"/>
    <w:lsdException w:name="TOC Heading" w:locked="0"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styleId="Normal" w:default="1">
    <w:name w:val="Normal"/>
    <w:qFormat/>
    <w:rsid w:val="00917933"/>
    <w:pPr>
      <w:widowControl/>
      <w:suppressAutoHyphens w:val="true"/>
      <w:bidi w:val="0"/>
      <w:spacing w:before="120" w:after="0"/>
      <w:jc w:val="left"/>
    </w:pPr>
    <w:rPr>
      <w:rFonts w:ascii="Times New Roman" w:hAnsi="Times New Roman" w:eastAsia="Calibri" w:cs="" w:cstheme="minorBidi" w:eastAsiaTheme="minorHAnsi"/>
      <w:color w:val="auto"/>
      <w:kern w:val="0"/>
      <w:sz w:val="26"/>
      <w:szCs w:val="22"/>
      <w:lang w:val="ru-RU" w:eastAsia="en-US" w:bidi="ar-SA"/>
    </w:rPr>
  </w:style>
  <w:style w:type="paragraph" w:styleId="Heading1">
    <w:name w:val="Heading 1"/>
    <w:basedOn w:val="Normal"/>
    <w:next w:val="Normal"/>
    <w:link w:val="1"/>
    <w:qFormat/>
    <w:rsid w:val="00565d50"/>
    <w:pPr>
      <w:keepNext w:val="true"/>
      <w:keepLines/>
      <w:pageBreakBefore/>
      <w:tabs>
        <w:tab w:val="clear" w:pos="708"/>
        <w:tab w:val="left" w:pos="1134" w:leader="none"/>
      </w:tabs>
      <w:suppressAutoHyphens w:val="true"/>
      <w:spacing w:before="480" w:after="240"/>
      <w:ind w:left="1134" w:hanging="1134"/>
      <w:outlineLvl w:val="0"/>
    </w:pPr>
    <w:rPr>
      <w:rFonts w:ascii="Arial" w:hAnsi="Arial" w:eastAsia="Times New Roman" w:cs="Times New Roman"/>
      <w:b/>
      <w:kern w:val="2"/>
      <w:sz w:val="40"/>
      <w:szCs w:val="26"/>
      <w:lang w:eastAsia="ru-RU"/>
    </w:rPr>
  </w:style>
  <w:style w:type="paragraph" w:styleId="Heading2">
    <w:name w:val="Heading 2"/>
    <w:basedOn w:val="Normal"/>
    <w:next w:val="Normal"/>
    <w:link w:val="21"/>
    <w:qFormat/>
    <w:rsid w:val="00565d50"/>
    <w:pPr>
      <w:keepNext w:val="true"/>
      <w:tabs>
        <w:tab w:val="clear" w:pos="708"/>
        <w:tab w:val="left" w:pos="2694" w:leader="none"/>
      </w:tabs>
      <w:suppressAutoHyphens w:val="true"/>
      <w:spacing w:before="360" w:after="120"/>
      <w:ind w:left="2694" w:hanging="1134"/>
      <w:outlineLvl w:val="1"/>
    </w:pPr>
    <w:rPr>
      <w:rFonts w:eastAsia="Times New Roman" w:cs="Times New Roman"/>
      <w:b/>
      <w:sz w:val="32"/>
      <w:szCs w:val="26"/>
      <w:lang w:eastAsia="ru-RU"/>
    </w:rPr>
  </w:style>
  <w:style w:type="paragraph" w:styleId="Heading3">
    <w:name w:val="Heading 3"/>
    <w:basedOn w:val="Normal"/>
    <w:next w:val="Normal"/>
    <w:link w:val="3"/>
    <w:semiHidden/>
    <w:unhideWhenUsed/>
    <w:qFormat/>
    <w:rsid w:val="00a74fa4"/>
    <w:pPr>
      <w:keepNext w:val="true"/>
      <w:keepLines/>
      <w:spacing w:before="40" w:after="0"/>
      <w:outlineLvl w:val="2"/>
    </w:pPr>
    <w:rPr>
      <w:rFonts w:ascii="Calibri Light" w:hAnsi="Calibri Light" w:eastAsia="" w:cs="" w:asciiTheme="majorHAnsi" w:cstheme="majorBidi" w:eastAsiaTheme="majorEastAsia" w:hAnsiTheme="majorHAnsi"/>
      <w:color w:val="1F3763" w:themeColor="accent1" w:themeShade="7f"/>
      <w:sz w:val="24"/>
      <w:szCs w:val="24"/>
    </w:rPr>
  </w:style>
  <w:style w:type="character" w:styleId="DefaultParagraphFont" w:default="1">
    <w:name w:val="Default Paragraph Font"/>
    <w:uiPriority w:val="1"/>
    <w:semiHidden/>
    <w:unhideWhenUsed/>
    <w:qFormat/>
    <w:rPr/>
  </w:style>
  <w:style w:type="character" w:styleId="Style6" w:customStyle="1">
    <w:name w:val="Верхний колонтитул Знак"/>
    <w:basedOn w:val="DefaultParagraphFont"/>
    <w:uiPriority w:val="99"/>
    <w:qFormat/>
    <w:rsid w:val="00c95e18"/>
    <w:rPr/>
  </w:style>
  <w:style w:type="character" w:styleId="Style7" w:customStyle="1">
    <w:name w:val="Нижний колонтитул Знак"/>
    <w:basedOn w:val="DefaultParagraphFont"/>
    <w:uiPriority w:val="99"/>
    <w:qFormat/>
    <w:rsid w:val="008364e8"/>
    <w:rPr/>
  </w:style>
  <w:style w:type="character" w:styleId="Style8" w:customStyle="1">
    <w:name w:val="[РГ] Инструкция для организатора"/>
    <w:basedOn w:val="DefaultParagraphFont"/>
    <w:uiPriority w:val="1"/>
    <w:qFormat/>
    <w:rsid w:val="00277346"/>
    <w:rPr>
      <w:i/>
      <w:iCs/>
      <w:shd w:fill="FFFF99" w:val="clear"/>
      <w:lang w:val="ru-RU"/>
    </w:rPr>
  </w:style>
  <w:style w:type="character" w:styleId="Style9" w:customStyle="1">
    <w:name w:val="Текст сноски Знак"/>
    <w:basedOn w:val="DefaultParagraphFont"/>
    <w:uiPriority w:val="99"/>
    <w:semiHidden/>
    <w:qFormat/>
    <w:rsid w:val="006608d1"/>
    <w:rPr>
      <w:sz w:val="20"/>
      <w:szCs w:val="20"/>
    </w:rPr>
  </w:style>
  <w:style w:type="character" w:styleId="Style10">
    <w:name w:val="Символ сноски"/>
    <w:unhideWhenUsed/>
    <w:qFormat/>
    <w:rsid w:val="006608d1"/>
    <w:rPr>
      <w:vertAlign w:val="superscript"/>
    </w:rPr>
  </w:style>
  <w:style w:type="character" w:styleId="FootnoteReference">
    <w:name w:val="Footnote Reference"/>
    <w:rPr>
      <w:vertAlign w:val="superscript"/>
    </w:rPr>
  </w:style>
  <w:style w:type="character" w:styleId="Hyperlink">
    <w:name w:val="Hyperlink"/>
    <w:basedOn w:val="DefaultParagraphFont"/>
    <w:uiPriority w:val="99"/>
    <w:unhideWhenUsed/>
    <w:rsid w:val="00cc7f55"/>
    <w:rPr>
      <w:color w:val="0563C1" w:themeColor="hyperlink"/>
      <w:u w:val="single"/>
    </w:rPr>
  </w:style>
  <w:style w:type="character" w:styleId="UnresolvedMention">
    <w:name w:val="Unresolved Mention"/>
    <w:basedOn w:val="DefaultParagraphFont"/>
    <w:uiPriority w:val="99"/>
    <w:semiHidden/>
    <w:unhideWhenUsed/>
    <w:qFormat/>
    <w:rsid w:val="00cc7f55"/>
    <w:rPr>
      <w:color w:val="605E5C"/>
      <w:shd w:fill="E1DFDD" w:val="clear"/>
    </w:rPr>
  </w:style>
  <w:style w:type="character" w:styleId="PlaceholderText">
    <w:name w:val="Placeholder Text"/>
    <w:basedOn w:val="DefaultParagraphFont"/>
    <w:uiPriority w:val="99"/>
    <w:semiHidden/>
    <w:qFormat/>
    <w:rsid w:val="00984d97"/>
    <w:rPr>
      <w:color w:val="808080"/>
    </w:rPr>
  </w:style>
  <w:style w:type="character" w:styleId="Style11" w:customStyle="1">
    <w:name w:val="[РГ] Отсылка"/>
    <w:basedOn w:val="DefaultParagraphFont"/>
    <w:uiPriority w:val="1"/>
    <w:qFormat/>
    <w:rsid w:val="00c558e6"/>
    <w:rPr>
      <w:color w:val="000000"/>
      <w:spacing w:val="0"/>
      <w:u w:val="dotted" w:color="4472C4"/>
      <w:shd w:fill="auto" w:val="clear"/>
      <w:lang w:val="ru-RU"/>
    </w:rPr>
  </w:style>
  <w:style w:type="character" w:styleId="Annotationreference">
    <w:name w:val="annotation reference"/>
    <w:basedOn w:val="DefaultParagraphFont"/>
    <w:unhideWhenUsed/>
    <w:qFormat/>
    <w:rsid w:val="007e365e"/>
    <w:rPr>
      <w:sz w:val="16"/>
      <w:szCs w:val="16"/>
    </w:rPr>
  </w:style>
  <w:style w:type="character" w:styleId="Style12" w:customStyle="1">
    <w:name w:val="Текст примечания Знак"/>
    <w:basedOn w:val="DefaultParagraphFont"/>
    <w:link w:val="Annotationtext"/>
    <w:uiPriority w:val="99"/>
    <w:qFormat/>
    <w:rsid w:val="007e365e"/>
    <w:rPr>
      <w:sz w:val="20"/>
      <w:szCs w:val="20"/>
    </w:rPr>
  </w:style>
  <w:style w:type="character" w:styleId="Style13" w:customStyle="1">
    <w:name w:val="Тема примечания Знак"/>
    <w:basedOn w:val="Style12"/>
    <w:link w:val="Annotationsubject"/>
    <w:uiPriority w:val="99"/>
    <w:semiHidden/>
    <w:qFormat/>
    <w:rsid w:val="007e365e"/>
    <w:rPr>
      <w:b/>
      <w:bCs/>
      <w:sz w:val="20"/>
      <w:szCs w:val="20"/>
    </w:rPr>
  </w:style>
  <w:style w:type="character" w:styleId="Style14" w:customStyle="1">
    <w:name w:val="[РГ] Инструкция для участника"/>
    <w:basedOn w:val="DefaultParagraphFont"/>
    <w:uiPriority w:val="1"/>
    <w:qFormat/>
    <w:rsid w:val="005864e9"/>
    <w:rPr>
      <w:i/>
      <w:shd w:fill="D0CECE" w:val="clear"/>
      <w:lang w:val="ru-RU"/>
    </w:rPr>
  </w:style>
  <w:style w:type="character" w:styleId="FollowedHyperlink">
    <w:name w:val="FollowedHyperlink"/>
    <w:basedOn w:val="DefaultParagraphFont"/>
    <w:uiPriority w:val="99"/>
    <w:semiHidden/>
    <w:unhideWhenUsed/>
    <w:rsid w:val="006d25e1"/>
    <w:rPr>
      <w:color w:val="954F72" w:themeColor="followedHyperlink"/>
      <w:u w:val="single"/>
    </w:rPr>
  </w:style>
  <w:style w:type="character" w:styleId="2" w:customStyle="1">
    <w:name w:val="Пункт Знак2"/>
    <w:link w:val="Style31"/>
    <w:qFormat/>
    <w:rsid w:val="00493761"/>
    <w:rPr>
      <w:rFonts w:eastAsia="Times New Roman" w:cs="Times New Roman"/>
      <w:szCs w:val="26"/>
      <w:lang w:eastAsia="ru-RU"/>
    </w:rPr>
  </w:style>
  <w:style w:type="character" w:styleId="1" w:customStyle="1">
    <w:name w:val="Заголовок 1 Знак"/>
    <w:basedOn w:val="DefaultParagraphFont"/>
    <w:qFormat/>
    <w:rsid w:val="00565d50"/>
    <w:rPr>
      <w:rFonts w:ascii="Arial" w:hAnsi="Arial" w:eastAsia="Times New Roman" w:cs="Times New Roman"/>
      <w:b/>
      <w:kern w:val="2"/>
      <w:sz w:val="40"/>
      <w:szCs w:val="26"/>
      <w:lang w:eastAsia="ru-RU"/>
    </w:rPr>
  </w:style>
  <w:style w:type="character" w:styleId="21" w:customStyle="1">
    <w:name w:val="Заголовок 2 Знак"/>
    <w:basedOn w:val="DefaultParagraphFont"/>
    <w:qFormat/>
    <w:rsid w:val="00565d50"/>
    <w:rPr>
      <w:rFonts w:eastAsia="Times New Roman" w:cs="Times New Roman"/>
      <w:b/>
      <w:sz w:val="32"/>
      <w:szCs w:val="26"/>
      <w:lang w:eastAsia="ru-RU"/>
    </w:rPr>
  </w:style>
  <w:style w:type="character" w:styleId="3" w:customStyle="1">
    <w:name w:val="Заголовок 3 Знак"/>
    <w:basedOn w:val="DefaultParagraphFont"/>
    <w:semiHidden/>
    <w:qFormat/>
    <w:rsid w:val="00a74fa4"/>
    <w:rPr>
      <w:rFonts w:ascii="Calibri Light" w:hAnsi="Calibri Light" w:eastAsia="" w:cs="" w:asciiTheme="majorHAnsi" w:cstheme="majorBidi" w:eastAsiaTheme="majorEastAsia" w:hAnsiTheme="majorHAnsi"/>
      <w:color w:val="1F3763" w:themeColor="accent1" w:themeShade="7f"/>
      <w:sz w:val="24"/>
      <w:szCs w:val="24"/>
    </w:rPr>
  </w:style>
  <w:style w:type="character" w:styleId="Style15" w:customStyle="1">
    <w:name w:val="Текст выноски Знак"/>
    <w:basedOn w:val="DefaultParagraphFont"/>
    <w:link w:val="BalloonText"/>
    <w:uiPriority w:val="99"/>
    <w:semiHidden/>
    <w:qFormat/>
    <w:rsid w:val="00023c57"/>
    <w:rPr>
      <w:rFonts w:ascii="Segoe UI" w:hAnsi="Segoe UI" w:cs="Segoe UI"/>
      <w:sz w:val="18"/>
      <w:szCs w:val="18"/>
    </w:rPr>
  </w:style>
  <w:style w:type="character" w:styleId="Style16" w:customStyle="1">
    <w:name w:val="РГ_ЕПоЗ_а) Знак"/>
    <w:basedOn w:val="DefaultParagraphFont"/>
    <w:link w:val="Style34"/>
    <w:qFormat/>
    <w:rsid w:val="00144605"/>
    <w:rPr>
      <w:rFonts w:eastAsia="Calibri" w:cs="Times New Roman"/>
      <w:sz w:val="28"/>
      <w:szCs w:val="28"/>
    </w:rPr>
  </w:style>
  <w:style w:type="character" w:styleId="-" w:customStyle="1">
    <w:name w:val="РГ_ЕПоЗ_- Знак"/>
    <w:basedOn w:val="DefaultParagraphFont"/>
    <w:link w:val="-1"/>
    <w:qFormat/>
    <w:rsid w:val="00144605"/>
    <w:rPr>
      <w:rFonts w:eastAsia="Times New Roman" w:cs="Times New Roman"/>
      <w:sz w:val="28"/>
      <w:szCs w:val="20"/>
      <w:lang w:eastAsia="ru-RU"/>
    </w:rPr>
  </w:style>
  <w:style w:type="character" w:styleId="Style17">
    <w:name w:val="Ссылка указателя"/>
    <w:qFormat/>
    <w:rPr/>
  </w:style>
  <w:style w:type="character" w:styleId="Style18">
    <w:name w:val="Символ концевой сноски"/>
    <w:qFormat/>
    <w:rPr/>
  </w:style>
  <w:style w:type="character" w:styleId="EndnoteReference">
    <w:name w:val="Endnote Reference"/>
    <w:rPr>
      <w:vertAlign w:val="superscript"/>
    </w:rPr>
  </w:style>
  <w:style w:type="character" w:styleId="LineNumber">
    <w:name w:val="Line Number"/>
    <w:rPr/>
  </w:style>
  <w:style w:type="paragraph" w:styleId="Style19">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20">
    <w:name w:val="Указатель"/>
    <w:basedOn w:val="Normal"/>
    <w:qFormat/>
    <w:pPr>
      <w:suppressLineNumbers/>
    </w:pPr>
    <w:rPr>
      <w:rFonts w:cs="Arial Unicode MS"/>
    </w:rPr>
  </w:style>
  <w:style w:type="paragraph" w:styleId="Style21" w:customStyle="1">
    <w:name w:val="[РГ] Раздел"/>
    <w:basedOn w:val="Normal"/>
    <w:next w:val="Style22"/>
    <w:qFormat/>
    <w:rsid w:val="00c95e18"/>
    <w:pPr>
      <w:keepNext w:val="true"/>
      <w:pageBreakBefore/>
      <w:numPr>
        <w:ilvl w:val="0"/>
        <w:numId w:val="1"/>
      </w:numPr>
      <w:spacing w:before="0" w:after="360"/>
      <w:jc w:val="both"/>
      <w:outlineLvl w:val="0"/>
    </w:pPr>
    <w:rPr>
      <w:b/>
      <w:bCs/>
      <w:caps/>
    </w:rPr>
  </w:style>
  <w:style w:type="paragraph" w:styleId="Style22" w:customStyle="1">
    <w:name w:val="[РГ] Подраздел"/>
    <w:basedOn w:val="Normal"/>
    <w:next w:val="Style23"/>
    <w:qFormat/>
    <w:rsid w:val="00891546"/>
    <w:pPr>
      <w:keepNext w:val="true"/>
      <w:numPr>
        <w:ilvl w:val="1"/>
        <w:numId w:val="1"/>
      </w:numPr>
      <w:spacing w:before="360" w:after="0"/>
      <w:jc w:val="both"/>
      <w:outlineLvl w:val="1"/>
    </w:pPr>
    <w:rPr>
      <w:b/>
      <w:bCs/>
    </w:rPr>
  </w:style>
  <w:style w:type="paragraph" w:styleId="Style23" w:customStyle="1">
    <w:name w:val="[РГ] Пункт"/>
    <w:basedOn w:val="Normal"/>
    <w:qFormat/>
    <w:rsid w:val="00891546"/>
    <w:pPr>
      <w:numPr>
        <w:ilvl w:val="2"/>
        <w:numId w:val="1"/>
      </w:numPr>
      <w:jc w:val="both"/>
      <w:outlineLvl w:val="2"/>
    </w:pPr>
    <w:rPr/>
  </w:style>
  <w:style w:type="paragraph" w:styleId="Style24" w:customStyle="1">
    <w:name w:val="[РГ] Подпункт"/>
    <w:basedOn w:val="Normal"/>
    <w:qFormat/>
    <w:rsid w:val="00891546"/>
    <w:pPr>
      <w:numPr>
        <w:ilvl w:val="3"/>
        <w:numId w:val="1"/>
      </w:numPr>
      <w:jc w:val="both"/>
      <w:outlineLvl w:val="3"/>
    </w:pPr>
    <w:rPr/>
  </w:style>
  <w:style w:type="paragraph" w:styleId="Style25" w:customStyle="1">
    <w:name w:val="[РГ] Перечисление"/>
    <w:basedOn w:val="Normal"/>
    <w:qFormat/>
    <w:rsid w:val="00891546"/>
    <w:pPr>
      <w:numPr>
        <w:ilvl w:val="4"/>
        <w:numId w:val="1"/>
      </w:numPr>
      <w:jc w:val="both"/>
      <w:outlineLvl w:val="4"/>
    </w:pPr>
    <w:rPr/>
  </w:style>
  <w:style w:type="paragraph" w:styleId="Style26" w:customStyle="1">
    <w:name w:val="[РГ] Заголовок"/>
    <w:basedOn w:val="Normal"/>
    <w:next w:val="Style27"/>
    <w:qFormat/>
    <w:rsid w:val="00f87384"/>
    <w:pPr>
      <w:keepNext w:val="true"/>
      <w:pageBreakBefore/>
      <w:spacing w:before="0" w:after="360"/>
      <w:jc w:val="both"/>
    </w:pPr>
    <w:rPr>
      <w:b/>
      <w:bCs/>
      <w:caps/>
    </w:rPr>
  </w:style>
  <w:style w:type="paragraph" w:styleId="Style27" w:customStyle="1">
    <w:name w:val="[РГ] Текст"/>
    <w:basedOn w:val="Normal"/>
    <w:qFormat/>
    <w:rsid w:val="00891546"/>
    <w:pPr>
      <w:jc w:val="both"/>
    </w:pPr>
    <w:rPr/>
  </w:style>
  <w:style w:type="paragraph" w:styleId="Style28">
    <w:name w:val="Колонтитул"/>
    <w:basedOn w:val="Normal"/>
    <w:qFormat/>
    <w:pPr/>
    <w:rPr/>
  </w:style>
  <w:style w:type="paragraph" w:styleId="Header">
    <w:name w:val="Header"/>
    <w:basedOn w:val="Normal"/>
    <w:link w:val="Style6"/>
    <w:uiPriority w:val="99"/>
    <w:unhideWhenUsed/>
    <w:rsid w:val="00c95e18"/>
    <w:pPr>
      <w:spacing w:before="0" w:after="120"/>
      <w:jc w:val="center"/>
    </w:pPr>
    <w:rPr/>
  </w:style>
  <w:style w:type="paragraph" w:styleId="Footer">
    <w:name w:val="Footer"/>
    <w:basedOn w:val="Normal"/>
    <w:link w:val="Style7"/>
    <w:unhideWhenUsed/>
    <w:rsid w:val="008364e8"/>
    <w:pPr>
      <w:jc w:val="right"/>
    </w:pPr>
    <w:rPr/>
  </w:style>
  <w:style w:type="paragraph" w:styleId="FootnoteText">
    <w:name w:val="Footnote Text"/>
    <w:basedOn w:val="Normal"/>
    <w:link w:val="Style9"/>
    <w:uiPriority w:val="99"/>
    <w:semiHidden/>
    <w:unhideWhenUsed/>
    <w:rsid w:val="006608d1"/>
    <w:pPr>
      <w:spacing w:before="0" w:after="0"/>
    </w:pPr>
    <w:rPr>
      <w:sz w:val="20"/>
      <w:szCs w:val="20"/>
    </w:rPr>
  </w:style>
  <w:style w:type="paragraph" w:styleId="Style29" w:customStyle="1">
    <w:name w:val="[РГ] Сноска"/>
    <w:basedOn w:val="FootnoteText"/>
    <w:qFormat/>
    <w:rsid w:val="006608d1"/>
    <w:pPr>
      <w:spacing w:before="80" w:after="0"/>
      <w:ind w:left="567" w:hanging="567"/>
      <w:jc w:val="both"/>
    </w:pPr>
    <w:rPr>
      <w:sz w:val="22"/>
    </w:rPr>
  </w:style>
  <w:style w:type="paragraph" w:styleId="TOC2">
    <w:name w:val="TOC 2"/>
    <w:basedOn w:val="Normal"/>
    <w:next w:val="Normal"/>
    <w:autoRedefine/>
    <w:uiPriority w:val="39"/>
    <w:unhideWhenUsed/>
    <w:rsid w:val="002c4b1b"/>
    <w:pPr>
      <w:tabs>
        <w:tab w:val="clear" w:pos="708"/>
        <w:tab w:val="left" w:pos="851" w:leader="none"/>
        <w:tab w:val="right" w:pos="9923" w:leader="none"/>
      </w:tabs>
      <w:spacing w:before="120" w:after="120"/>
      <w:ind w:left="851" w:hanging="851"/>
    </w:pPr>
    <w:rPr/>
  </w:style>
  <w:style w:type="paragraph" w:styleId="TOC1">
    <w:name w:val="TOC 1"/>
    <w:basedOn w:val="Normal"/>
    <w:next w:val="Normal"/>
    <w:autoRedefine/>
    <w:uiPriority w:val="39"/>
    <w:unhideWhenUsed/>
    <w:rsid w:val="00bd294b"/>
    <w:pPr>
      <w:keepNext w:val="true"/>
      <w:tabs>
        <w:tab w:val="clear" w:pos="708"/>
        <w:tab w:val="left" w:pos="851" w:leader="none"/>
        <w:tab w:val="right" w:pos="9923" w:leader="none"/>
      </w:tabs>
      <w:spacing w:before="120" w:after="120"/>
      <w:ind w:left="851" w:hanging="851"/>
    </w:pPr>
    <w:rPr>
      <w:b/>
      <w:caps/>
    </w:rPr>
  </w:style>
  <w:style w:type="paragraph" w:styleId="TOC3">
    <w:name w:val="TOC 3"/>
    <w:basedOn w:val="Normal"/>
    <w:next w:val="Normal"/>
    <w:autoRedefine/>
    <w:uiPriority w:val="39"/>
    <w:unhideWhenUsed/>
    <w:rsid w:val="009c217f"/>
    <w:pPr>
      <w:spacing w:lineRule="auto" w:line="259" w:before="0" w:after="100"/>
      <w:ind w:left="440" w:hanging="0"/>
    </w:pPr>
    <w:rPr>
      <w:rFonts w:ascii="Calibri" w:hAnsi="Calibri" w:eastAsia="" w:asciiTheme="minorHAnsi" w:eastAsiaTheme="minorEastAsia" w:hAnsiTheme="minorHAnsi"/>
      <w:sz w:val="22"/>
      <w:lang w:eastAsia="ru-RU"/>
    </w:rPr>
  </w:style>
  <w:style w:type="paragraph" w:styleId="TOC4">
    <w:name w:val="TOC 4"/>
    <w:basedOn w:val="Normal"/>
    <w:next w:val="Normal"/>
    <w:autoRedefine/>
    <w:uiPriority w:val="39"/>
    <w:unhideWhenUsed/>
    <w:rsid w:val="009c217f"/>
    <w:pPr>
      <w:spacing w:lineRule="auto" w:line="259" w:before="0" w:after="100"/>
      <w:ind w:left="660" w:hanging="0"/>
    </w:pPr>
    <w:rPr>
      <w:rFonts w:ascii="Calibri" w:hAnsi="Calibri" w:eastAsia="" w:asciiTheme="minorHAnsi" w:eastAsiaTheme="minorEastAsia" w:hAnsiTheme="minorHAnsi"/>
      <w:sz w:val="22"/>
      <w:lang w:eastAsia="ru-RU"/>
    </w:rPr>
  </w:style>
  <w:style w:type="paragraph" w:styleId="TOC5">
    <w:name w:val="TOC 5"/>
    <w:basedOn w:val="Normal"/>
    <w:next w:val="Normal"/>
    <w:autoRedefine/>
    <w:uiPriority w:val="39"/>
    <w:unhideWhenUsed/>
    <w:rsid w:val="009c217f"/>
    <w:pPr>
      <w:spacing w:lineRule="auto" w:line="259" w:before="0" w:after="100"/>
      <w:ind w:left="880" w:hanging="0"/>
    </w:pPr>
    <w:rPr>
      <w:rFonts w:ascii="Calibri" w:hAnsi="Calibri" w:eastAsia="" w:asciiTheme="minorHAnsi" w:eastAsiaTheme="minorEastAsia" w:hAnsiTheme="minorHAnsi"/>
      <w:sz w:val="22"/>
      <w:lang w:eastAsia="ru-RU"/>
    </w:rPr>
  </w:style>
  <w:style w:type="paragraph" w:styleId="TOC6">
    <w:name w:val="TOC 6"/>
    <w:basedOn w:val="Normal"/>
    <w:next w:val="Normal"/>
    <w:autoRedefine/>
    <w:uiPriority w:val="39"/>
    <w:unhideWhenUsed/>
    <w:rsid w:val="009c217f"/>
    <w:pPr>
      <w:spacing w:lineRule="auto" w:line="259" w:before="0" w:after="100"/>
      <w:ind w:left="1100" w:hanging="0"/>
    </w:pPr>
    <w:rPr>
      <w:rFonts w:ascii="Calibri" w:hAnsi="Calibri" w:eastAsia="" w:asciiTheme="minorHAnsi" w:eastAsiaTheme="minorEastAsia" w:hAnsiTheme="minorHAnsi"/>
      <w:sz w:val="22"/>
      <w:lang w:eastAsia="ru-RU"/>
    </w:rPr>
  </w:style>
  <w:style w:type="paragraph" w:styleId="TOC7">
    <w:name w:val="TOC 7"/>
    <w:basedOn w:val="Normal"/>
    <w:next w:val="Normal"/>
    <w:autoRedefine/>
    <w:uiPriority w:val="39"/>
    <w:unhideWhenUsed/>
    <w:rsid w:val="009c217f"/>
    <w:pPr>
      <w:spacing w:lineRule="auto" w:line="259" w:before="0" w:after="100"/>
      <w:ind w:left="1320" w:hanging="0"/>
    </w:pPr>
    <w:rPr>
      <w:rFonts w:ascii="Calibri" w:hAnsi="Calibri" w:eastAsia="" w:asciiTheme="minorHAnsi" w:eastAsiaTheme="minorEastAsia" w:hAnsiTheme="minorHAnsi"/>
      <w:sz w:val="22"/>
      <w:lang w:eastAsia="ru-RU"/>
    </w:rPr>
  </w:style>
  <w:style w:type="paragraph" w:styleId="TOC8">
    <w:name w:val="TOC 8"/>
    <w:basedOn w:val="Normal"/>
    <w:next w:val="Normal"/>
    <w:autoRedefine/>
    <w:uiPriority w:val="39"/>
    <w:unhideWhenUsed/>
    <w:rsid w:val="009c217f"/>
    <w:pPr>
      <w:spacing w:lineRule="auto" w:line="259" w:before="0" w:after="100"/>
      <w:ind w:left="1540" w:hanging="0"/>
    </w:pPr>
    <w:rPr>
      <w:rFonts w:ascii="Calibri" w:hAnsi="Calibri" w:eastAsia="" w:asciiTheme="minorHAnsi" w:eastAsiaTheme="minorEastAsia" w:hAnsiTheme="minorHAnsi"/>
      <w:sz w:val="22"/>
      <w:lang w:eastAsia="ru-RU"/>
    </w:rPr>
  </w:style>
  <w:style w:type="paragraph" w:styleId="TOC9">
    <w:name w:val="TOC 9"/>
    <w:basedOn w:val="Normal"/>
    <w:next w:val="Normal"/>
    <w:autoRedefine/>
    <w:uiPriority w:val="39"/>
    <w:unhideWhenUsed/>
    <w:rsid w:val="009c217f"/>
    <w:pPr>
      <w:spacing w:lineRule="auto" w:line="259" w:before="0" w:after="100"/>
      <w:ind w:left="1760" w:hanging="0"/>
    </w:pPr>
    <w:rPr>
      <w:rFonts w:ascii="Calibri" w:hAnsi="Calibri" w:eastAsia="" w:asciiTheme="minorHAnsi" w:eastAsiaTheme="minorEastAsia" w:hAnsiTheme="minorHAnsi"/>
      <w:sz w:val="22"/>
      <w:lang w:eastAsia="ru-RU"/>
    </w:rPr>
  </w:style>
  <w:style w:type="paragraph" w:styleId="Annotationtext">
    <w:name w:val="annotation text"/>
    <w:basedOn w:val="Normal"/>
    <w:link w:val="Style12"/>
    <w:uiPriority w:val="99"/>
    <w:unhideWhenUsed/>
    <w:qFormat/>
    <w:rsid w:val="007e365e"/>
    <w:pPr/>
    <w:rPr>
      <w:sz w:val="20"/>
      <w:szCs w:val="20"/>
    </w:rPr>
  </w:style>
  <w:style w:type="paragraph" w:styleId="Annotationsubject">
    <w:name w:val="annotation subject"/>
    <w:basedOn w:val="Annotationtext"/>
    <w:next w:val="Annotationtext"/>
    <w:link w:val="Style13"/>
    <w:uiPriority w:val="99"/>
    <w:semiHidden/>
    <w:unhideWhenUsed/>
    <w:qFormat/>
    <w:rsid w:val="007e365e"/>
    <w:pPr/>
    <w:rPr>
      <w:b/>
      <w:bCs/>
    </w:rPr>
  </w:style>
  <w:style w:type="paragraph" w:styleId="Style30" w:customStyle="1">
    <w:name w:val="[РГ] Альтернатива / Дополнение"/>
    <w:basedOn w:val="Style27"/>
    <w:next w:val="Style27"/>
    <w:qFormat/>
    <w:rsid w:val="00a932a1"/>
    <w:pPr/>
    <w:rPr>
      <w:i/>
      <w:shd w:fill="CCECFF" w:val="clear"/>
    </w:rPr>
  </w:style>
  <w:style w:type="paragraph" w:styleId="Revision">
    <w:name w:val="Revision"/>
    <w:uiPriority w:val="99"/>
    <w:semiHidden/>
    <w:qFormat/>
    <w:rsid w:val="00537a41"/>
    <w:pPr>
      <w:widowControl/>
      <w:suppressAutoHyphens w:val="true"/>
      <w:bidi w:val="0"/>
      <w:spacing w:before="0" w:after="0"/>
      <w:jc w:val="left"/>
    </w:pPr>
    <w:rPr>
      <w:rFonts w:ascii="Times New Roman" w:hAnsi="Times New Roman" w:eastAsia="Calibri" w:cs="" w:cstheme="minorBidi" w:eastAsiaTheme="minorHAnsi"/>
      <w:color w:val="auto"/>
      <w:kern w:val="0"/>
      <w:sz w:val="26"/>
      <w:szCs w:val="22"/>
      <w:lang w:val="ru-RU" w:eastAsia="en-US" w:bidi="ar-SA"/>
    </w:rPr>
  </w:style>
  <w:style w:type="paragraph" w:styleId="ListParagraph">
    <w:name w:val="List Paragraph"/>
    <w:basedOn w:val="Normal"/>
    <w:uiPriority w:val="34"/>
    <w:qFormat/>
    <w:rsid w:val="00bb1e37"/>
    <w:pPr>
      <w:spacing w:before="120" w:after="0"/>
      <w:ind w:left="720" w:hanging="0"/>
      <w:contextualSpacing/>
    </w:pPr>
    <w:rPr/>
  </w:style>
  <w:style w:type="paragraph" w:styleId="Style31" w:customStyle="1">
    <w:name w:val="Пункт"/>
    <w:basedOn w:val="Normal"/>
    <w:link w:val="2"/>
    <w:qFormat/>
    <w:rsid w:val="00493761"/>
    <w:pPr>
      <w:numPr>
        <w:ilvl w:val="2"/>
        <w:numId w:val="9"/>
      </w:numPr>
      <w:jc w:val="both"/>
    </w:pPr>
    <w:rPr>
      <w:rFonts w:eastAsia="Times New Roman" w:cs="Times New Roman"/>
      <w:szCs w:val="26"/>
      <w:lang w:eastAsia="ru-RU"/>
    </w:rPr>
  </w:style>
  <w:style w:type="paragraph" w:styleId="Style32" w:customStyle="1">
    <w:name w:val="Подпункт"/>
    <w:basedOn w:val="Style31"/>
    <w:qFormat/>
    <w:rsid w:val="00493761"/>
    <w:pPr>
      <w:numPr>
        <w:ilvl w:val="3"/>
      </w:numPr>
      <w:tabs>
        <w:tab w:val="clear" w:pos="708"/>
      </w:tabs>
      <w:ind w:left="2880" w:hanging="360"/>
    </w:pPr>
    <w:rPr/>
  </w:style>
  <w:style w:type="paragraph" w:styleId="Style33" w:customStyle="1">
    <w:name w:val="Подподпункт"/>
    <w:basedOn w:val="Style32"/>
    <w:qFormat/>
    <w:rsid w:val="00493761"/>
    <w:pPr>
      <w:numPr>
        <w:ilvl w:val="4"/>
      </w:numPr>
      <w:ind w:left="3600" w:hanging="360"/>
    </w:pPr>
    <w:rPr/>
  </w:style>
  <w:style w:type="paragraph" w:styleId="BalloonText">
    <w:name w:val="Balloon Text"/>
    <w:basedOn w:val="Normal"/>
    <w:link w:val="Style15"/>
    <w:uiPriority w:val="99"/>
    <w:semiHidden/>
    <w:unhideWhenUsed/>
    <w:qFormat/>
    <w:rsid w:val="00023c57"/>
    <w:pPr>
      <w:spacing w:before="0" w:after="0"/>
    </w:pPr>
    <w:rPr>
      <w:rFonts w:ascii="Segoe UI" w:hAnsi="Segoe UI" w:cs="Segoe UI"/>
      <w:sz w:val="18"/>
      <w:szCs w:val="18"/>
    </w:rPr>
  </w:style>
  <w:style w:type="paragraph" w:styleId="11" w:customStyle="1">
    <w:name w:val="РГ_ЕПоЗ_1."/>
    <w:basedOn w:val="Normal"/>
    <w:qFormat/>
    <w:rsid w:val="00144605"/>
    <w:pPr>
      <w:keepNext w:val="true"/>
      <w:numPr>
        <w:ilvl w:val="0"/>
        <w:numId w:val="16"/>
      </w:numPr>
      <w:tabs>
        <w:tab w:val="clear" w:pos="708"/>
        <w:tab w:val="left" w:pos="1418" w:leader="none"/>
      </w:tabs>
      <w:spacing w:before="480" w:after="0"/>
      <w:jc w:val="both"/>
      <w:outlineLvl w:val="0"/>
    </w:pPr>
    <w:rPr>
      <w:rFonts w:eastAsia="Times New Roman" w:cs="Times New Roman"/>
      <w:b/>
      <w:sz w:val="28"/>
      <w:szCs w:val="28"/>
      <w:lang w:eastAsia="ru-RU"/>
    </w:rPr>
  </w:style>
  <w:style w:type="paragraph" w:styleId="111" w:customStyle="1">
    <w:name w:val="РГ_ЕПоЗ_1.1"/>
    <w:basedOn w:val="Normal"/>
    <w:qFormat/>
    <w:rsid w:val="00144605"/>
    <w:pPr>
      <w:keepNext w:val="true"/>
      <w:numPr>
        <w:ilvl w:val="1"/>
        <w:numId w:val="16"/>
      </w:numPr>
      <w:tabs>
        <w:tab w:val="clear" w:pos="708"/>
        <w:tab w:val="left" w:pos="1418" w:leader="none"/>
      </w:tabs>
      <w:spacing w:before="360" w:after="0"/>
      <w:ind w:left="1134" w:hanging="567"/>
      <w:jc w:val="both"/>
      <w:outlineLvl w:val="1"/>
    </w:pPr>
    <w:rPr>
      <w:rFonts w:eastAsia="Times New Roman" w:cs="Times New Roman"/>
      <w:b/>
      <w:sz w:val="28"/>
      <w:szCs w:val="28"/>
      <w:lang w:eastAsia="ru-RU"/>
    </w:rPr>
  </w:style>
  <w:style w:type="paragraph" w:styleId="Style34" w:customStyle="1">
    <w:name w:val="РГ_ЕПоЗ_а)"/>
    <w:basedOn w:val="ListParagraph"/>
    <w:link w:val="Style16"/>
    <w:qFormat/>
    <w:rsid w:val="00144605"/>
    <w:pPr>
      <w:numPr>
        <w:ilvl w:val="4"/>
        <w:numId w:val="16"/>
      </w:numPr>
      <w:spacing w:before="120" w:after="0"/>
      <w:contextualSpacing w:val="false"/>
      <w:jc w:val="both"/>
    </w:pPr>
    <w:rPr>
      <w:rFonts w:eastAsia="Calibri" w:cs="Times New Roman"/>
      <w:sz w:val="28"/>
      <w:szCs w:val="28"/>
    </w:rPr>
  </w:style>
  <w:style w:type="paragraph" w:styleId="1111" w:customStyle="1">
    <w:name w:val="РГ_ЕПоЗ_1.1.1.1"/>
    <w:basedOn w:val="Normal"/>
    <w:qFormat/>
    <w:rsid w:val="00144605"/>
    <w:pPr>
      <w:numPr>
        <w:ilvl w:val="3"/>
        <w:numId w:val="16"/>
      </w:numPr>
      <w:tabs>
        <w:tab w:val="clear" w:pos="708"/>
        <w:tab w:val="left" w:pos="1843" w:leader="none"/>
      </w:tabs>
      <w:jc w:val="both"/>
    </w:pPr>
    <w:rPr>
      <w:rFonts w:eastAsia="Times New Roman" w:cs="Times New Roman"/>
      <w:sz w:val="28"/>
      <w:szCs w:val="28"/>
      <w:lang w:eastAsia="ru-RU"/>
    </w:rPr>
  </w:style>
  <w:style w:type="paragraph" w:styleId="-1" w:customStyle="1">
    <w:name w:val="РГ_ЕПоЗ_-"/>
    <w:basedOn w:val="Normal"/>
    <w:link w:val="-"/>
    <w:qFormat/>
    <w:rsid w:val="00144605"/>
    <w:pPr>
      <w:numPr>
        <w:ilvl w:val="5"/>
        <w:numId w:val="16"/>
      </w:numPr>
      <w:tabs>
        <w:tab w:val="clear" w:pos="708"/>
        <w:tab w:val="left" w:pos="2552" w:leader="none"/>
      </w:tabs>
      <w:spacing w:before="0" w:after="0"/>
      <w:jc w:val="both"/>
    </w:pPr>
    <w:rPr>
      <w:rFonts w:eastAsia="Times New Roman" w:cs="Times New Roman"/>
      <w:sz w:val="28"/>
      <w:szCs w:val="20"/>
      <w:lang w:eastAsia="ru-RU"/>
    </w:rPr>
  </w:style>
  <w:style w:type="paragraph" w:styleId="1112" w:customStyle="1">
    <w:name w:val="РГ_ЕПоЗ_1.1.1"/>
    <w:basedOn w:val="Normal"/>
    <w:qFormat/>
    <w:rsid w:val="00144605"/>
    <w:pPr>
      <w:numPr>
        <w:ilvl w:val="2"/>
        <w:numId w:val="16"/>
      </w:numPr>
      <w:tabs>
        <w:tab w:val="clear" w:pos="708"/>
        <w:tab w:val="left" w:pos="1134" w:leader="none"/>
      </w:tabs>
      <w:jc w:val="both"/>
    </w:pPr>
    <w:rPr>
      <w:rFonts w:eastAsia="Times New Roman" w:cs="Times New Roman"/>
      <w:sz w:val="28"/>
      <w:szCs w:val="28"/>
      <w:lang w:eastAsia="ru-RU"/>
    </w:rPr>
  </w:style>
  <w:style w:type="numbering" w:styleId="NoList" w:default="1">
    <w:name w:val="No List"/>
    <w:uiPriority w:val="99"/>
    <w:semiHidden/>
    <w:unhideWhenUsed/>
    <w:qFormat/>
  </w:style>
  <w:style w:type="table" w:default="1" w:styleId="aa">
    <w:name w:val="Normal Table"/>
    <w:uiPriority w:val="99"/>
    <w:semiHidden/>
    <w:unhideWhenUsed/>
    <w:tblPr>
      <w:tblCellMar>
        <w:top w:w="0" w:type="dxa"/>
        <w:left w:w="108" w:type="dxa"/>
        <w:bottom w:w="0" w:type="dxa"/>
        <w:right w:w="108" w:type="dxa"/>
      </w:tblCellMar>
    </w:tblPr>
  </w:style>
  <w:style w:type="table" w:customStyle="1" w:styleId="af9">
    <w:name w:val="[РГ] Таблица"/>
    <w:basedOn w:val="aa"/>
    <w:uiPriority w:val="99"/>
    <w:rsid w:val="006173b0"/>
    <w:pPr>
      <w:spacing w:before="60" w:after="60"/>
    </w:pPr>
    <w:tblP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57" w:type="dxa"/>
        <w:right w:w="57" w:type="dxa"/>
      </w:tblCellMar>
    </w:tblPr>
    <w:tblStylePr w:type="firstRow">
      <w:pPr>
        <w:wordWrap/>
        <w:jc w:val="center"/>
      </w:pPr>
      <w:rPr>
        <w:b/>
      </w:rPr>
      <w:tblPr/>
    </w:tblStylePr>
  </w:style>
  <w:style w:type="table" w:styleId="afa">
    <w:name w:val="Table Grid"/>
    <w:basedOn w:val="aa"/>
    <w:uiPriority w:val="39"/>
    <w:rsid w:val="006173b0"/>
    <w:pPr>
      <w:spacing w:before="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package" Target="embeddings/oleObject1.docx"/><Relationship Id="rId9" Type="http://schemas.openxmlformats.org/officeDocument/2006/relationships/image" Target="media/image1.wmf"/><Relationship Id="rId10" Type="http://schemas.openxmlformats.org/officeDocument/2006/relationships/header" Target="header4.xml"/><Relationship Id="rId11" Type="http://schemas.openxmlformats.org/officeDocument/2006/relationships/header" Target="header5.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header" Target="header6.xml"/><Relationship Id="rId15" Type="http://schemas.openxmlformats.org/officeDocument/2006/relationships/header" Target="header7.xml"/><Relationship Id="rId16" Type="http://schemas.openxmlformats.org/officeDocument/2006/relationships/footer" Target="footer6.xml"/><Relationship Id="rId17" Type="http://schemas.openxmlformats.org/officeDocument/2006/relationships/footer" Target="footer7.xml"/><Relationship Id="rId18" Type="http://schemas.openxmlformats.org/officeDocument/2006/relationships/package" Target="embeddings/oleObject2.docx"/><Relationship Id="rId19" Type="http://schemas.openxmlformats.org/officeDocument/2006/relationships/image" Target="media/image2.wmf"/><Relationship Id="rId20" Type="http://schemas.openxmlformats.org/officeDocument/2006/relationships/package" Target="embeddings/oleObject3.docx"/><Relationship Id="rId21" Type="http://schemas.openxmlformats.org/officeDocument/2006/relationships/image" Target="media/image3.wmf"/><Relationship Id="rId22" Type="http://schemas.openxmlformats.org/officeDocument/2006/relationships/header" Target="header8.xml"/><Relationship Id="rId23" Type="http://schemas.openxmlformats.org/officeDocument/2006/relationships/header" Target="header9.xml"/><Relationship Id="rId24" Type="http://schemas.openxmlformats.org/officeDocument/2006/relationships/footer" Target="footer8.xml"/><Relationship Id="rId25" Type="http://schemas.openxmlformats.org/officeDocument/2006/relationships/footer" Target="footer9.xml"/><Relationship Id="rId26" Type="http://schemas.openxmlformats.org/officeDocument/2006/relationships/header" Target="header10.xml"/><Relationship Id="rId27" Type="http://schemas.openxmlformats.org/officeDocument/2006/relationships/header" Target="header11.xml"/><Relationship Id="rId28" Type="http://schemas.openxmlformats.org/officeDocument/2006/relationships/footer" Target="footer10.xml"/><Relationship Id="rId29" Type="http://schemas.openxmlformats.org/officeDocument/2006/relationships/footer" Target="footer11.xml"/><Relationship Id="rId30" Type="http://schemas.openxmlformats.org/officeDocument/2006/relationships/header" Target="header12.xml"/><Relationship Id="rId31" Type="http://schemas.openxmlformats.org/officeDocument/2006/relationships/header" Target="header13.xml"/><Relationship Id="rId32" Type="http://schemas.openxmlformats.org/officeDocument/2006/relationships/footer" Target="footer12.xml"/><Relationship Id="rId33" Type="http://schemas.openxmlformats.org/officeDocument/2006/relationships/footer" Target="footer13.xml"/><Relationship Id="rId34" Type="http://schemas.openxmlformats.org/officeDocument/2006/relationships/package" Target="embeddings/oleObject4.xlsx"/><Relationship Id="rId35" Type="http://schemas.openxmlformats.org/officeDocument/2006/relationships/image" Target="media/image4.wmf"/><Relationship Id="rId36" Type="http://schemas.openxmlformats.org/officeDocument/2006/relationships/package" Target="embeddings/oleObject5.docx"/><Relationship Id="rId37" Type="http://schemas.openxmlformats.org/officeDocument/2006/relationships/image" Target="media/image5.wmf"/><Relationship Id="rId38" Type="http://schemas.openxmlformats.org/officeDocument/2006/relationships/header" Target="header14.xml"/><Relationship Id="rId39" Type="http://schemas.openxmlformats.org/officeDocument/2006/relationships/header" Target="header15.xml"/><Relationship Id="rId40" Type="http://schemas.openxmlformats.org/officeDocument/2006/relationships/footer" Target="footer14.xml"/><Relationship Id="rId41" Type="http://schemas.openxmlformats.org/officeDocument/2006/relationships/footer" Target="footer15.xml"/><Relationship Id="rId42" Type="http://schemas.openxmlformats.org/officeDocument/2006/relationships/footnotes" Target="footnotes.xml"/><Relationship Id="rId43" Type="http://schemas.openxmlformats.org/officeDocument/2006/relationships/numbering" Target="numbering.xml"/><Relationship Id="rId44" Type="http://schemas.openxmlformats.org/officeDocument/2006/relationships/fontTable" Target="fontTable.xml"/><Relationship Id="rId45" Type="http://schemas.openxmlformats.org/officeDocument/2006/relationships/settings" Target="settings.xml"/><Relationship Id="rId46" Type="http://schemas.openxmlformats.org/officeDocument/2006/relationships/theme" Target="theme/theme1.xml"/><Relationship Id="rId4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C3160-6867-45F3-941F-E021B5F5E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388</TotalTime>
  <Application>AlterOffice/2025.3.1.0$Linux_X86_64 LibreOffice_project/431cd1b79110582f53535c95ed0a2449aadc8bf9</Application>
  <AppVersion>15.0000</AppVersion>
  <Pages>73</Pages>
  <Words>18246</Words>
  <Characters>125548</Characters>
  <CharactersWithSpaces>142504</CharactersWithSpaces>
  <Paragraphs>1045</Paragraphs>
  <Company>ПАО РусГидро; ИнКонТех</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2025-07-21T13:44:00Z</dcterms:created>
  <dc:creator>Владимир Щербаков</dc:creator>
  <dc:description/>
  <cp:keywords>Типовая форма</cp:keywords>
  <dc:language>ru-RU</dc:language>
  <cp:lastModifiedBy>korneva_oa@DGK.RU</cp:lastModifiedBy>
  <dcterms:modified xsi:type="dcterms:W3CDTF">2026-08-10T14:19:03Z</dcterms:modified>
  <cp:revision>29</cp:revision>
  <dc:subject>Альбом типовых форм</dc:subject>
  <dc:title>Документация о закупке</dc:title>
</cp:coreProperties>
</file>

<file path=docProps/custom.xml><?xml version="1.0" encoding="utf-8"?>
<Properties xmlns="http://schemas.openxmlformats.org/officeDocument/2006/custom-properties" xmlns:vt="http://schemas.openxmlformats.org/officeDocument/2006/docPropsVTypes"/>
</file>