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Государственном комитете юстиции РС(Я) 2 июля 2025 г. N RU1401420222648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ГОСУДАРСТВЕННЫЙ КОМИТЕТ ПО ЦЕНОВОЙ ПОЛИТИКЕ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РЕСПУБЛИКИ САХА (ЯКУТИЯ)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ПОСТАНОВЛЕНИЕ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26 июня 2025 г. N 109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УСТАНОВЛЕНИИ ЛЬГОТНЫХ ТАРИФОВ НА ТЕПЛОВУЮ ЭНЕРГИЮ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(МОЩНОСТЬ), ПОСТАВЛЯЕМУЮ ТЕПЛОСНАБЖАЮЩИМИ ОРГАНИЗАЦИЯМИ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СУБЪЕКТОВ МАЛОГО И СРЕДНЕГО ПРЕДПРИНИМАТЕЛЬСТВА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ФИЗИЧЕСКИХ ЛИЦ, ИМЕЮЩИХ НА ПРАВЕ СОБСТВЕННОСТИ ГАРАЖИ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ТЕРРИТОРИИ РЕСПУБЛИКИ САХА (ЯКУТИЯ)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постановлений ГКЦ РС(Я)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11.07.2025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114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19.09.2025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143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14.11.2025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177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27 июля 2010 г. N 190-ФЗ "О теплоснабжении",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Российской Федерации от 22 октября 2012 г. N 1075 "О ценообразовании в сфере теплоснабжения",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Республики Саха (Якутия) от 5 декабря 2013 г. 1235-З N 25-V "О льготных тарифах на сжиженный газ, электрическую и тепловую энергию (мощность), водоснабжение и водоотведение", руководствуясь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Республики Саха (Якутия) от 22 ноября 2007 г. N 468 "Об утверждении Положения о Государственном комитете по ценовой политике Республики Саха (Якутия)" и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приказом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Государственного комитета по ценовой политике Республики Саха (Якутия) от 25 мая 2020 г. N 21 "Об утверждении Положения о Правлении Государственного комитета по ценовой политике Республики Саха (Якутия)", Правление Государственного комитета по ценовой 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итике Республики Саха (Якутия) постановляет: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Установить льготные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тарифы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тепловую энергию (мощность), поставляемую теплоснабжающими организациями для субъектов малого и среднего предпринимательства, являющихся собственниками помещений, и не осуществляющих в качестве основных виды экономической деятельности, определенные Мин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истерством предпринимательства, торговли и туризма Республики Саха (Якутия), а также для физических лиц, имеющих на праве собственности гаражи, используемые для личных нужд, и потребляющие тепловую энергию (мощность) в населенных пунктах Республики Саха (Я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кутия), согласно приложению к настоящему постановлению.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утратившими силу: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Правления Госкомцен РС(Я) от 15 января 2025 г. N 5 "Об установлении льготных тарифов на тепловую энергию (мощность), поставляемую теплоснабжающими организациями для субъектов малого и среднего предпринимательства и физических лиц, имеющих на праве собстве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нности гаражи на территории Республики Саха (Якутия), на 2025 год";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Правления Госкомцен РС(Я) от 31 января 2025 г. N 21 "О внесении изменений в отдельные постановления Правления Государственного комитета по ценовой политике Республики Саха (Якутия)".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Настоящее постановление вступает в силу с 1 июля 2025 г. и действует по 30 июня 2026 г.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Опубликовать настоящее постановление в официальных средствах массовой информации.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Председатель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Н.В.БОЧКОВ</w:t>
      </w:r>
      <w:r/>
    </w:p>
    <w:p>
      <w:pPr>
        <w:jc w:val="left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61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  <w:br/>
      </w:r>
      <w:r/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постановлению</w:t>
      </w:r>
      <w:r/>
      <w:r>
        <w:rPr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Правления ГКЦ РС(Я)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26 июня 2025 г. N 109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ЛЬГОТНЫЕ ТАРИФЫ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ТЕПЛОВУЮ ЭНЕРГИЮ (МОЩНОСТЬ), ПОСТАВЛЯЕМУЮ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ТЕПЛОСНАБЖАЮЩИМИ ОРГАНИЗАЦИЯМИ ДЛЯ СУБЪЕКТОВ МАЛОГО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СРЕДНЕГО ПРЕДПРИНИМАТЕЛЬСТВА, ЯВЛЯЮЩИХСЯ СОБСТВЕННИКАМИ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ПОМЕЩЕНИЙ, И НЕ ОСУЩЕСТВЛЯЮЩИХ В КАЧЕСТВЕ ОСНОВНЫХ ВИДЫ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ЭКОНОМИЧЕСКОЙ ДЕЯТЕЛЬНОСТИ, ОПРЕДЕЛЕННЫЕ МИНИСТЕРСТВОМ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ПРЕДПРИНИМАТЕЛЬСТВА, ТОРГОВЛИ И ТУРИЗМА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РЕСПУБЛИКИ САХА (ЯКУТИЯ), А ТАКЖЕ ДЛЯ ФИЗИЧЕСКИХ ЛИЦ,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ИМЕЮЩИХ НА ПРАВЕ СОБСТВЕННОСТИ ГАРАЖИ, ИСПОЛЬЗУЕМЫЕ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ЛИЧНЫХ НУЖД, И ПОТРЕБЛЯЮЩИЕ ТЕПЛОВУЮ ЭНЕРГИЮ (МОЩНОСТЬ)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НАСЕЛЕННЫХ ПУНКТАХ РЕСПУБЛИКИ САХА (ЯКУТИЯ)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постановлений ГКЦ РС(Я)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11.07.2025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114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19.09.2025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143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14.11.2025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u w:val="none"/>
              </w:rPr>
              <w:t xml:space="preserve">N 177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r/>
      <w:r/>
    </w:p>
    <w:p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969"/>
        <w:gridCol w:w="1531"/>
      </w:tblGrid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  <w:outlineLvl w:val="0"/>
            </w:pPr>
            <w:r>
              <w:rPr>
                <w:sz w:val="24"/>
              </w:rPr>
              <w:t xml:space="preserve">21.</w:t>
            </w:r>
            <w:r/>
            <w:r/>
          </w:p>
        </w:tc>
        <w:tc>
          <w:tcPr>
            <w:gridSpan w:val="3"/>
            <w:tcW w:w="83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Нерюнгринский район</w:t>
            </w: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21.1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Город Нерюнгри</w:t>
            </w: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АО "ДГК" СП "Нерюнгринская ГРЭС"</w:t>
            </w: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3 975,32</w:t>
            </w: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21.2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Поселок Чульман</w:t>
            </w: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АО "ДГК" СП "Нерюнгринская ГРЭС"</w:t>
            </w: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4 547,38</w:t>
            </w: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21.3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Село Большой Хатыми</w:t>
            </w: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ООО "МАКСИМУС+"</w:t>
            </w: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7 686,87</w:t>
            </w: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21.4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Поселок Хани</w:t>
            </w: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ООО "ИТЭК"</w:t>
            </w: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&lt;*&gt;</w:t>
            </w:r>
            <w:r/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21.5</w:t>
            </w:r>
            <w:r/>
            <w:r/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Поселок Серебряный Бор</w:t>
            </w:r>
            <w:r/>
            <w:r/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АО "ДГК" СП "Нерюнгринская ГРЭС"</w:t>
            </w:r>
            <w:r/>
            <w:r/>
          </w:p>
        </w:tc>
        <w:tc>
          <w:tcPr>
            <w:tcBorders>
              <w:bottom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3 975,32</w:t>
            </w: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(п. 21.5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ГКЦ РС(Я) от 11.07.2025 N 114)</w:t>
            </w:r>
            <w:r/>
            <w:r/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21.6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Поселок Беркакит</w:t>
            </w: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АО "ДГК" СП "Нерюнгринская ГРЭС"</w:t>
            </w: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3 975,32</w:t>
            </w:r>
            <w:r/>
            <w:r/>
          </w:p>
        </w:tc>
      </w:tr>
    </w:tbl>
    <w:p>
      <w:r>
        <w:rPr>
          <w:i/>
          <w:sz w:val="24"/>
        </w:rPr>
        <w:br/>
        <w:t xml:space="preserve">Постановление ГКЦ РС(Я) от 26.06.2025 N 109 (ред. от 14.11.2025) "Об установлении льготных тарифов на тепловую энергию (мощность), поставляемую теплоснабжающими организациям</w:t>
      </w:r>
      <w:r>
        <w:rPr>
          <w:i/>
          <w:sz w:val="24"/>
        </w:rPr>
        <w:t xml:space="preserve">и для субъектов малого и среднего предпринимательства и физических лиц, имеющих на праве собственности гаражи на территории Республики Саха (Якутия)" (Зарегистрировано в Государственном комитете юстиции РС(Я) 02.07.2025 N RU1401420222648) {КонсультантПлюс}</w:t>
      </w:r>
      <w:r/>
      <w:r>
        <w:rPr>
          <w:sz w:val="24"/>
          <w:szCs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1100" w:right="567" w:bottom="816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ГКЦ РС(Я) от 26.06.2025 N 109
(ред. от 14.11.2025)
"Об установлении льготных тарифов на тепловую энергию (мощность), поставляемую теплоснабжающими организациями для субъектов малого и среднего предпринимательства и физических лиц, имеющих на праве собственности гаражи на территории Республики Саха (Якутия)"
(Зарегистрировано в Государственном комитете юстиции РС(Я) 02.07.2025 N RU1401420222648)</dc:title>
  <cp:lastModifiedBy>novikova_oa</cp:lastModifiedBy>
  <cp:revision>1</cp:revision>
  <dcterms:created xsi:type="dcterms:W3CDTF">2025-12-18T06:46:58Z</dcterms:created>
  <dcterms:modified xsi:type="dcterms:W3CDTF">2025-12-18T06:52:52Z</dcterms:modified>
</cp:coreProperties>
</file>