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право заключения дог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адрес располож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r>
    </w:p>
    <w:p>
      <w:pPr>
        <w:contextualSpacing/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Обременения: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отсутствуют.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Фо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Началь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ная цена продажи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44 390 788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(Сорок четыре миллиона триста девяносто тысяч семьсот восемьдесят восемь)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рублей 00 копее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том чи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сле НДС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 действующей став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ке, установленной статьей 164 Налогового кодекса РФ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начала подачи Заявок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«24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 апреля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 ч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540"/>
        <w:jc w:val="both"/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окончания подачи Заявок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«10»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июня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17 ч.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проведения 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«16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июня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 ч.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подведения итогов 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«18» июня 202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17 ч. 00 мин (по местному времени Продавца/ Организатора)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Место подведения итогов: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 адресу Продавца (Организатора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</w:p>
    <w:p>
      <w:pPr>
        <w:pStyle w:val="856"/>
        <w:ind w:left="0" w:right="0" w:firstLine="567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Наименование и адрес электронной торговой площадки для подачи Заяв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ок: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Российский аукционный дом (ЭТП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РАД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separate"/>
      </w:r>
      <w:r>
        <w:rPr>
          <w:rStyle w:val="847"/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https://lot-online.ru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орядок и форма подачи Заявок: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информация приведена в Документации о продаже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56"/>
        <w:ind w:left="0" w:right="0" w:firstLine="567"/>
        <w:jc w:val="both"/>
        <w:widowControl w:val="off"/>
        <w:rPr>
          <w:b w:val="0"/>
          <w:sz w:val="26"/>
          <w:szCs w:val="26"/>
          <w:highlight w:val="none"/>
        </w:rPr>
      </w:pPr>
      <w:r>
        <w:rPr>
          <w:sz w:val="26"/>
          <w:szCs w:val="26"/>
          <w:highlight w:val="none"/>
          <w:u w:val="single"/>
        </w:rPr>
        <w:t xml:space="preserve">Документац</w:t>
      </w:r>
      <w:r>
        <w:rPr>
          <w:sz w:val="26"/>
          <w:szCs w:val="26"/>
          <w:highlight w:val="none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  <w:highlight w:val="none"/>
        </w:rPr>
        <w:t xml:space="preserve">Российский аукционный дом (ЭТП РАД), </w:t>
      </w:r>
      <w:hyperlink r:id="rId10" w:tooltip="http://www._________.ru/" w:history="1">
        <w:r>
          <w:rPr>
            <w:rStyle w:val="847"/>
            <w:sz w:val="26"/>
            <w:szCs w:val="26"/>
            <w:highlight w:val="none"/>
          </w:rPr>
          <w:t xml:space="preserve">https://lot-online.ru/</w:t>
        </w:r>
      </w:hyperlink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Адрес эл. почты: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hyperlink r:id="rId11" w:tooltip="mailto:konovalova-l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, 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</w:r>
      <w:hyperlink r:id="rId12" w:tooltip="Click to mail shiryaeva-o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none"/>
            <w:u w:val="single"/>
          </w:rPr>
          <w:t xml:space="preserve">shiryaeva-oa@dgk.ru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Телефон: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8 (4212) 26-47-05, 8 (4212) 26-43-61, 8 – 914 – 406 – 29 – 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pStyle w:val="858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в Процедуре можно на сайте электронной торговой площадки Российский аукцион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ный дом (ЭТП РАД),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код процедур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269904,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код лота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РАД-448904,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 по следующей ссылке: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</w:r>
      <w:hyperlink r:id="rId13" w:tooltip="https://catalog.lot-online.ru/index.php?dispatch=products.view&amp;amp;product_id=1601905" w:history="1">
        <w:r>
          <w:rPr>
            <w:rStyle w:val="859"/>
            <w:sz w:val="26"/>
            <w:szCs w:val="26"/>
            <w:highlight w:val="none"/>
          </w:rPr>
        </w:r>
        <w:r>
          <w:rPr>
            <w:rStyle w:val="847"/>
            <w:rFonts w:ascii="Times New Roman" w:hAnsi="Times New Roman" w:cs="Times New Roman"/>
            <w:sz w:val="26"/>
            <w:szCs w:val="26"/>
            <w:highlight w:val="none"/>
          </w:rPr>
          <w:t xml:space="preserve">https://catalog.lot-online.ru/index.php?dispatch=products.view&amp;product_id=1601905</w:t>
        </w:r>
        <w:r>
          <w:rPr>
            <w:rStyle w:val="847"/>
            <w:rFonts w:ascii="Times New Roman" w:hAnsi="Times New Roman" w:cs="Times New Roman"/>
            <w:sz w:val="26"/>
            <w:szCs w:val="26"/>
            <w:highlight w:val="none"/>
          </w:rPr>
        </w:r>
        <w:r>
          <w:rPr>
            <w:rStyle w:val="847"/>
            <w:rFonts w:ascii="Times New Roman" w:hAnsi="Times New Roman" w:cs="Times New Roman"/>
            <w:sz w:val="26"/>
            <w:szCs w:val="26"/>
            <w:highlight w:val="none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empora LGC Uni">
    <w:panose1 w:val="020206030504050203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Table_header"/>
    <w:basedOn w:val="673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комментарий"/>
    <w:qFormat/>
    <w:rPr>
      <w:b/>
      <w:i/>
      <w:shd w:val="clear" w:color="auto" w:fill="ffff99"/>
    </w:rPr>
  </w:style>
  <w:style w:type="paragraph" w:styleId="858" w:customStyle="1">
    <w:name w:val="Standard"/>
    <w:basedOn w:val="67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empora LGC Un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59" w:customStyle="1">
    <w:name w:val="Internet link"/>
    <w:qFormat/>
    <w:rPr>
      <w:color w:val="0000ff"/>
      <w:sz w:val="2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_________.ru/" TargetMode="External"/><Relationship Id="rId11" Type="http://schemas.openxmlformats.org/officeDocument/2006/relationships/hyperlink" Target="mailto:konovalova-la@dgk.ru" TargetMode="External"/><Relationship Id="rId12" Type="http://schemas.openxmlformats.org/officeDocument/2006/relationships/hyperlink" Target="mailto:shiryaeva-oa@dgk.ru" TargetMode="External"/><Relationship Id="rId13" Type="http://schemas.openxmlformats.org/officeDocument/2006/relationships/hyperlink" Target="https://catalog.lot-online.ru/index.php?dispatch=products.view&amp;amp;product_id=16019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F623-8FE7-4799-97D5-CBD8696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revision>31</cp:revision>
  <dcterms:created xsi:type="dcterms:W3CDTF">2021-11-25T05:22:00Z</dcterms:created>
  <dcterms:modified xsi:type="dcterms:W3CDTF">2026-04-24T07:20:35Z</dcterms:modified>
</cp:coreProperties>
</file>