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</w:t>
      </w:r>
      <w:r>
        <w:rPr>
          <w:rFonts w:ascii="Times New Roman" w:hAnsi="Times New Roman" w:cs="Times New Roman"/>
          <w:b/>
          <w:sz w:val="24"/>
        </w:rPr>
        <w:t xml:space="preserve">/</w:t>
      </w:r>
      <w:r>
        <w:rPr>
          <w:rFonts w:ascii="Times New Roman" w:hAnsi="Times New Roman" w:cs="Times New Roman"/>
          <w:b/>
          <w:sz w:val="24"/>
        </w:rPr>
        <w:t xml:space="preserve">водоотведения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а) форм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заявки о подключении к централизованной системе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содержится в Регламенте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порядке осуществления подключений объектов к централизованным системам холодного водоснабжения и водоотведения Акционерного общества «Дальневосточная генерирующая компания»</w:t>
      </w:r>
      <w:r>
        <w:t xml:space="preserve"> </w:t>
      </w:r>
      <w:hyperlink r:id="rId9" w:tooltip="https://portal.eias.ru/Portal/DownloadPage.aspx?type=12&amp;guid=c78c1777-1293-4200-8021-e948cf2df460" w:history="1">
        <w:r>
          <w:rPr>
            <w:rStyle w:val="84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https://portal.eias.ru/Portal/DownloadPage.aspx?type=12&amp;guid=c78c1777-1293-4200-8021-e948cf2df460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подключении (технологическом присоединении)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 централизованной системе горячего водоснабжения,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холодного водоснабжения и (или) водоотведения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1. Наименование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исполнителя, которому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направлено заявление о подключении: 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2. Сведения о заявителе: 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для органов государственной власти и местного самоуправления - полное и сокращённое наименование органа, реквизиты нормативного правового акта, в соответствии с которым осуществляется деятельность этого органа;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для юридических лиц -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полное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 сокращенное наименования, основной государственный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регистрационный номер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записи в Едином государственном реестре юридических лиц, идентификационный номер налогоплательщика;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для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индивидуальных предпринимателей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для физических лиц - фамилия, имя, отчество (последнее - при наличии), данные паспорта или иного документа, удостоверяющего личность, идентификационный номер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налогоплательщика, страховой номер индивидуального лицевого счета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Контактные дан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ные заявителя 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(для органов государственной власти и местного само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управления – место нахождения,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почтовый адрес, контактный т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елефон, адрес электронной почты;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почты;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для индивидуальных предпринимателей - адрес регистрации по месту жительства, почтовый адрес, контактный  телефон, адрес электронной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почты;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для физических лиц – адрес регистрации по месту жительства, почтовый адрес, контактный телефон, адрес электронной почты)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4. Основания обращения с заявлением о подключении (технологическом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присоединении)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(указание, кем именно из перечня лиц,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имеющих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право обратиться с заявлением о подключении, является указанное лицо, а для правообладателя земельного участка также информация о праве лица на земельный участок, на который расположен подключаемый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объект  основания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возникновения  такого права)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Наименование и местонахождение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6. Требуется подключение 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    (централизованной системе горячего водоснабжения, холодного водоснабжения, водоотведения - указать нужное)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Необходимые виды ресурсов или услуг, планируемых к получению через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централизованную систему 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(получение питьевой, технической или горячей воды, сброс хозяйственно-бытовых, производственных или поверхностных сточных вод), а также виды подключаемых сетей (при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подключении к централизованной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системе водопроводных и (или) канализационных сетей)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Основание для заключения договора о подключении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(необходимость  подключения вновь создаваемого или соз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данного подключаемого объекта,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не подключенного к централизованным системам горячего водоснабжения, холодного водоснабжения и (или)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водоотведения, в том числе при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перераспределении (уступке права на использование) высвобождаемой подключенной мощности (нагрузки), или необходимость увеличения подключенной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мощности (нагрузки) ранее подключенного подключаемого объекта или реконструкции,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модернизации или капитального ремонта ранее подключенного подключаемого  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систем горячего водоснабжения, холодного водоснабжения и (или) водоотведения) *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9. Характеристика земельного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участка, на котором располагается подключаемый объект 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                 (площадь, кадастровый номер, вид разрешенного использования)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 Общая подключаемая мощность (нагрузка), включая данные о подключаемой мощности (нагрузке) по каждому этапу ввода подключаемых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объектов составляет для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потребления горячей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воды ________ Гкал/ч 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 л/с 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куб. м/час ______куб. м/сутки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потребления холодной воды _______л/с, __________________ куб. м/час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 куб. м/сутки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в том числе на нужды пожаротушения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наружного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 л/сек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внутреннего ______ л/сек. (количество пожарных кранов _____ штук),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автоматическое _____ л/сек.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водоотведения _______ л/с, _______ куб. м/час, ______ куб. м/сутки.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 Информация о предельных параметрах разрешенного строительства (реконструкции)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(высота объекта, этажность, протяженность и диаметр сети)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 Технические параметры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(назначение объекта, высота и этажность здания, строения, сооружения, протяженность и диаметр сети)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 Расположение средств измерений и приборов учета горячей воды, холодной воды и сточных вод (при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14. При подключении к централизованной системе горячего водоснабжения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наличие и возможность использования собственной нецентрализованной системы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горячего водоснабжения (с указанием мощности и режима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подключении к централизованной системе водоотведения - наличие иных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источников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водоснабжения, кроме централизованных систем горячего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холодного водоснабжения с указанием объемов горячей и холодной воды,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получаемой из таких иных источников водоснабжения_________________________________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подключении к централизованной ливневой системе водоотведения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площади и характеристике покрытия земельного участка,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которого осуществляется (будет осуществляться) сброс поверхностных сточных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 в централизованную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ливневую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систему водоотведения, в том числе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неорганизованный сброс поверхностных сточных вод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и дата выдачи технических условий (в случае их получения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заключения договора о подключении)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16.Информация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планируемых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сроках строительства (реконструкции,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модернизации) и ввода в эксплуатацию строящегося (реконструируемого,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модернизируемого) подключаемого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Расположение средств измерений и приборов учета горячей воды,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холодной воды и сточных вод (при их наличии)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18. Результаты рассмотрения запроса прошу направить (выбрать один из способов уведомления)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на адрес электронной почты, письмом посредством почтовой связи по адресу, иной способ)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  <w:t xml:space="preserve">и) объектов централизованных систем горячего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б) перечень документов и сведений, представляемых одновременно с заявкой о подключении к централизованной системе холодного водоснабжения, и указание на запрет требовать представления до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заявлению прилагаются документы, предусмотренные п. 26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набжения и (или) водоотведения (утв.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Правительства РФ от 30.11.2021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2130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либо направление подписанного проекта договора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), основания для отказа в принятии к рассмотрению документов, прилагаемых к заявлению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в подписании договора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закон от 07.12.2011 № 416-ФЗ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водоснабжении и водоотведении»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30.11.2021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2130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утверждении Правил подключения (технологического присоединения) объектов капитального строительства к централизованным системам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вительства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 Правительства РФ от 29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.07.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2013 № 645 «Об утверждении типовых договоров в области холодного водоснабжения и водоотведения».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Градостроительный кодекс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г) телефоны, адреса и график работы службы, ответственной за прием и обработку заявок о подключении к централизованной системе холодного водоснабжения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10301" w:type="dxa"/>
        <w:tblLayout w:type="fixed"/>
        <w:tblLook w:val="04A0" w:firstRow="1" w:lastRow="0" w:firstColumn="1" w:lastColumn="0" w:noHBand="0" w:noVBand="1"/>
      </w:tblPr>
      <w:tblGrid>
        <w:gridCol w:w="651"/>
        <w:gridCol w:w="1769"/>
        <w:gridCol w:w="2637"/>
        <w:gridCol w:w="2119"/>
        <w:gridCol w:w="1388"/>
        <w:gridCol w:w="1737"/>
      </w:tblGrid>
      <w:tr>
        <w:tblPrEx/>
        <w:trPr>
          <w:trHeight w:val="1116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Населенный пункт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Наименование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one" w:color="000000" w:sz="4" w:space="0"/>
            </w:tcBorders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Артем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«Артемовская ТЭЦ»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Приморский край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Артем,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ул. Каширская, 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(42337)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95-55-9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Комсомольск-на-Амуре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«Комсомольская ТЭЦ-3»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Комсомольск-на-Амуре, Северное шоссе, 151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4217) 23-34-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65</w:t>
            </w:r>
            <w:bookmarkStart w:id="0" w:name="_GoBack"/>
            <w:r>
              <w:rPr>
                <w:b w:val="0"/>
                <w:bCs w:val="0"/>
              </w:rPr>
            </w:r>
            <w:bookmarkEnd w:id="0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12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Майский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«Майская ГРЭС»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с 01.01.2025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не осуществляет услуги водоснабжения и водоотведения.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Хабаровский край,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Советская Гавань,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Майский, ул.Каспийская, 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(42138) 9-17-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115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Нерюнгри (п. Серебряный бор)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ГРЭС»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Республика Саха (Якутия)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Нерюнгри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c3148"/>
                <w:sz w:val="22"/>
                <w:szCs w:val="22"/>
                <w:highlight w:val="white"/>
              </w:rPr>
              <w:t xml:space="preserve">п.Серебряный Бор</w:t>
            </w:r>
            <w:r>
              <w:rPr>
                <w:rFonts w:ascii="Times New Roman" w:hAnsi="Times New Roman" w:eastAsia="Times New Roman" w:cs="Times New Roman"/>
                <w:color w:val="2c3148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c3148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База РЭБ)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38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(41147) 95-300-157-54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932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п. Чульман (техническая вода)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ГРЭС»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с 01.01.2025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highlight w:val="none"/>
                <w:lang w:eastAsia="ru-RU"/>
              </w:rPr>
              <w:t xml:space="preserve">не осуществляет услуги холодного водоснабжения (питьевая вода) и водоотведения.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Республика Саха (Якутия) 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Чульман,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ул. Советская д. 37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(41147) 169-69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«Хабаровская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ТЭЦ-3»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Хабаровский край,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г.Хабаровск, Федоровское шоссе, 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W w:w="138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(4212) 26-53-65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г. Благовещенск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6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СП «Благовещенская ТЭЦ»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Амурская область,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г. Благовещенск, ул. Загородная, 177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38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пн.- пт.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lang w:eastAsia="ru-RU"/>
              </w:rPr>
              <w:t xml:space="preserve">с 8-00 до 17-00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(4162) 39-83-59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*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 «Благовещенская ТЭЦ» (г. Благовещенск)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осуществляется подключение потребителей к системе холодного водоснабжения, на основании договора производиться отпуск технической воды для производственных нужд одному потребителю.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 транспортировки холодной воды оказываются потребителям, не имеющим альтернативного источника холодного водоснабжения.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** СП «Хабаровская ТЭЦ-3» (г. Хабаровск) не осуществляет подключение потребителей к системе холодного водоснабжения, на основании договора производиться отпуск технической воды одному потребителю.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54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567" w:right="851" w:bottom="567" w:left="68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>
    <w:name w:val="Hyperlink"/>
    <w:basedOn w:val="839"/>
    <w:uiPriority w:val="99"/>
    <w:unhideWhenUsed/>
    <w:rPr>
      <w:color w:val="0563c1" w:themeColor="hyperlink"/>
      <w:u w:val="single"/>
    </w:rPr>
  </w:style>
  <w:style w:type="paragraph" w:styleId="843">
    <w:name w:val="List Paragraph"/>
    <w:basedOn w:val="83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ortal.eias.ru/Portal/DownloadPage.aspx?type=12&amp;guid=c78c1777-1293-4200-8021-e948cf2df4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Старовецкая Анна Васильевна</dc:creator>
  <cp:keywords/>
  <dc:description/>
  <cp:lastModifiedBy>starovetckaya_av</cp:lastModifiedBy>
  <cp:revision>33</cp:revision>
  <dcterms:created xsi:type="dcterms:W3CDTF">2022-12-12T03:38:00Z</dcterms:created>
  <dcterms:modified xsi:type="dcterms:W3CDTF">2026-04-08T23:40:26Z</dcterms:modified>
</cp:coreProperties>
</file>